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AE839F" w14:textId="493198E2" w:rsidR="003635AE" w:rsidRPr="00637861" w:rsidRDefault="004F7C11" w:rsidP="00A05A67">
      <w:pPr>
        <w:spacing w:after="120" w:line="360" w:lineRule="auto"/>
        <w:jc w:val="both"/>
        <w:rPr>
          <w:rFonts w:ascii="Times New Roman" w:hAnsi="Times New Roman" w:cs="Times New Roman"/>
          <w:b/>
          <w:bCs/>
          <w:color w:val="000000" w:themeColor="text1"/>
        </w:rPr>
      </w:pPr>
      <w:r w:rsidRPr="00637861">
        <w:rPr>
          <w:rFonts w:ascii="Times New Roman" w:hAnsi="Times New Roman" w:cs="Times New Roman"/>
          <w:b/>
          <w:bCs/>
          <w:color w:val="000000" w:themeColor="text1"/>
        </w:rPr>
        <w:t>Constitutive role of law in sustainable finance</w:t>
      </w:r>
    </w:p>
    <w:p w14:paraId="20333570" w14:textId="0968427D" w:rsidR="00D02AC2" w:rsidRPr="00637861" w:rsidRDefault="00401F33"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Dr Agnieszka Paulina </w:t>
      </w:r>
      <w:proofErr w:type="spellStart"/>
      <w:r w:rsidRPr="00637861">
        <w:rPr>
          <w:rFonts w:ascii="Times New Roman" w:hAnsi="Times New Roman" w:cs="Times New Roman"/>
          <w:color w:val="000000" w:themeColor="text1"/>
        </w:rPr>
        <w:t>Smoleńska</w:t>
      </w:r>
      <w:proofErr w:type="spellEnd"/>
      <w:r w:rsidR="00E118C3" w:rsidRPr="00E118C3">
        <w:rPr>
          <w:rStyle w:val="Odwoanieprzypisudolnego"/>
          <w:rFonts w:ascii="Times New Roman" w:hAnsi="Times New Roman" w:cs="Times New Roman"/>
          <w:color w:val="000000" w:themeColor="text1"/>
        </w:rPr>
        <w:footnoteReference w:customMarkFollows="1" w:id="1"/>
        <w:sym w:font="Symbol" w:char="F02A"/>
      </w:r>
    </w:p>
    <w:p w14:paraId="3BD4604A" w14:textId="77777777" w:rsidR="003635AE" w:rsidRPr="00637861" w:rsidRDefault="003635AE" w:rsidP="00A05A67">
      <w:pPr>
        <w:spacing w:after="120" w:line="360" w:lineRule="auto"/>
        <w:jc w:val="both"/>
        <w:rPr>
          <w:rFonts w:ascii="Times New Roman" w:hAnsi="Times New Roman" w:cs="Times New Roman"/>
          <w:color w:val="000000" w:themeColor="text1"/>
        </w:rPr>
      </w:pPr>
    </w:p>
    <w:p w14:paraId="172C34E9" w14:textId="396A6411" w:rsidR="003635AE" w:rsidRPr="00637861" w:rsidRDefault="003635AE" w:rsidP="00A05A67">
      <w:pPr>
        <w:spacing w:after="120" w:line="360" w:lineRule="auto"/>
        <w:jc w:val="both"/>
        <w:rPr>
          <w:rFonts w:ascii="Times New Roman" w:hAnsi="Times New Roman" w:cs="Times New Roman"/>
          <w:i/>
          <w:iCs/>
          <w:color w:val="000000" w:themeColor="text1"/>
        </w:rPr>
      </w:pPr>
      <w:r w:rsidRPr="00637861">
        <w:rPr>
          <w:rFonts w:ascii="Times New Roman" w:hAnsi="Times New Roman" w:cs="Times New Roman"/>
          <w:i/>
          <w:iCs/>
          <w:color w:val="000000" w:themeColor="text1"/>
        </w:rPr>
        <w:t>Abstract</w:t>
      </w:r>
    </w:p>
    <w:p w14:paraId="00EC687A" w14:textId="5F4F3C39" w:rsidR="0007473B" w:rsidRPr="00637861" w:rsidRDefault="000B31CF" w:rsidP="0007473B">
      <w:pPr>
        <w:pStyle w:val="default"/>
        <w:spacing w:before="0" w:beforeAutospacing="0" w:after="120" w:afterAutospacing="0" w:line="360" w:lineRule="auto"/>
        <w:jc w:val="both"/>
        <w:rPr>
          <w:i/>
          <w:iCs/>
          <w:color w:val="000000" w:themeColor="text1"/>
        </w:rPr>
      </w:pPr>
      <w:r>
        <w:rPr>
          <w:i/>
          <w:iCs/>
          <w:color w:val="000000" w:themeColor="text1"/>
        </w:rPr>
        <w:t>The s</w:t>
      </w:r>
      <w:r w:rsidRPr="00637861">
        <w:rPr>
          <w:i/>
          <w:iCs/>
          <w:color w:val="000000" w:themeColor="text1"/>
        </w:rPr>
        <w:t xml:space="preserve">ustainability </w:t>
      </w:r>
      <w:r w:rsidR="004A631A" w:rsidRPr="00637861">
        <w:rPr>
          <w:i/>
          <w:iCs/>
          <w:color w:val="000000" w:themeColor="text1"/>
        </w:rPr>
        <w:t>transition</w:t>
      </w:r>
      <w:r w:rsidR="003635AE" w:rsidRPr="00637861">
        <w:rPr>
          <w:i/>
          <w:iCs/>
          <w:color w:val="000000" w:themeColor="text1"/>
        </w:rPr>
        <w:t xml:space="preserve"> requires a fundamental change in the way economies function</w:t>
      </w:r>
      <w:r w:rsidR="00DD5E21" w:rsidRPr="00637861">
        <w:rPr>
          <w:i/>
          <w:iCs/>
          <w:color w:val="000000" w:themeColor="text1"/>
        </w:rPr>
        <w:t xml:space="preserve"> </w:t>
      </w:r>
      <w:r>
        <w:rPr>
          <w:i/>
          <w:iCs/>
          <w:color w:val="000000" w:themeColor="text1"/>
        </w:rPr>
        <w:t xml:space="preserve">in order </w:t>
      </w:r>
      <w:r w:rsidR="00DD5E21" w:rsidRPr="00637861">
        <w:rPr>
          <w:i/>
          <w:iCs/>
          <w:color w:val="000000" w:themeColor="text1"/>
        </w:rPr>
        <w:t xml:space="preserve">to align socioeconomic systems with planetary </w:t>
      </w:r>
      <w:r w:rsidR="00080B0B" w:rsidRPr="00637861">
        <w:rPr>
          <w:i/>
          <w:iCs/>
          <w:color w:val="000000" w:themeColor="text1"/>
        </w:rPr>
        <w:t>boundaries</w:t>
      </w:r>
      <w:r w:rsidR="003635AE" w:rsidRPr="00637861">
        <w:rPr>
          <w:i/>
          <w:iCs/>
          <w:color w:val="000000" w:themeColor="text1"/>
        </w:rPr>
        <w:t>.</w:t>
      </w:r>
      <w:r w:rsidR="006A3BB0" w:rsidRPr="00637861">
        <w:rPr>
          <w:i/>
          <w:iCs/>
          <w:color w:val="000000" w:themeColor="text1"/>
        </w:rPr>
        <w:t xml:space="preserve"> </w:t>
      </w:r>
      <w:r w:rsidR="004A631A" w:rsidRPr="00637861">
        <w:rPr>
          <w:i/>
          <w:iCs/>
          <w:color w:val="000000" w:themeColor="text1"/>
        </w:rPr>
        <w:t xml:space="preserve">From a legal perspective, such </w:t>
      </w:r>
      <w:r w:rsidR="00B07CB4">
        <w:rPr>
          <w:i/>
          <w:iCs/>
          <w:color w:val="000000" w:themeColor="text1"/>
        </w:rPr>
        <w:t xml:space="preserve">a </w:t>
      </w:r>
      <w:r w:rsidR="004A631A" w:rsidRPr="00637861">
        <w:rPr>
          <w:i/>
          <w:iCs/>
          <w:color w:val="000000" w:themeColor="text1"/>
        </w:rPr>
        <w:t xml:space="preserve">shift should entail </w:t>
      </w:r>
      <w:r w:rsidR="00F66BE2">
        <w:rPr>
          <w:i/>
          <w:iCs/>
          <w:color w:val="000000" w:themeColor="text1"/>
        </w:rPr>
        <w:t>a</w:t>
      </w:r>
      <w:r w:rsidR="00F66BE2" w:rsidRPr="00637861">
        <w:rPr>
          <w:i/>
          <w:iCs/>
          <w:color w:val="000000" w:themeColor="text1"/>
        </w:rPr>
        <w:t xml:space="preserve"> </w:t>
      </w:r>
      <w:r w:rsidR="004A631A" w:rsidRPr="00637861">
        <w:rPr>
          <w:i/>
          <w:iCs/>
          <w:color w:val="000000" w:themeColor="text1"/>
        </w:rPr>
        <w:t>transformation of the</w:t>
      </w:r>
      <w:r w:rsidR="003635AE" w:rsidRPr="00637861">
        <w:rPr>
          <w:i/>
          <w:iCs/>
          <w:color w:val="000000" w:themeColor="text1"/>
        </w:rPr>
        <w:t xml:space="preserve"> prevailing </w:t>
      </w:r>
      <w:r w:rsidR="006A3BB0" w:rsidRPr="00637861">
        <w:rPr>
          <w:i/>
          <w:iCs/>
          <w:color w:val="000000" w:themeColor="text1"/>
        </w:rPr>
        <w:t>legal coding</w:t>
      </w:r>
      <w:r w:rsidR="003635AE" w:rsidRPr="00637861">
        <w:rPr>
          <w:i/>
          <w:iCs/>
          <w:color w:val="000000" w:themeColor="text1"/>
        </w:rPr>
        <w:t xml:space="preserve"> of </w:t>
      </w:r>
      <w:r w:rsidR="005B565F" w:rsidRPr="00637861">
        <w:rPr>
          <w:i/>
          <w:iCs/>
          <w:color w:val="000000" w:themeColor="text1"/>
        </w:rPr>
        <w:t>economic relations</w:t>
      </w:r>
      <w:r w:rsidR="003635AE" w:rsidRPr="00637861">
        <w:rPr>
          <w:i/>
          <w:iCs/>
          <w:color w:val="000000" w:themeColor="text1"/>
        </w:rPr>
        <w:t xml:space="preserve"> </w:t>
      </w:r>
      <w:r w:rsidR="00F47DF2" w:rsidRPr="00637861">
        <w:rPr>
          <w:i/>
          <w:iCs/>
          <w:color w:val="000000" w:themeColor="text1"/>
        </w:rPr>
        <w:t>to enable</w:t>
      </w:r>
      <w:r w:rsidR="007A1287" w:rsidRPr="00637861">
        <w:rPr>
          <w:i/>
          <w:iCs/>
          <w:color w:val="000000" w:themeColor="text1"/>
        </w:rPr>
        <w:t xml:space="preserve"> consistent</w:t>
      </w:r>
      <w:r w:rsidR="00F47DF2" w:rsidRPr="00637861">
        <w:rPr>
          <w:i/>
          <w:iCs/>
          <w:color w:val="000000" w:themeColor="text1"/>
        </w:rPr>
        <w:t xml:space="preserve"> </w:t>
      </w:r>
      <w:r w:rsidR="007A1287" w:rsidRPr="00637861">
        <w:rPr>
          <w:i/>
          <w:iCs/>
          <w:color w:val="000000" w:themeColor="text1"/>
        </w:rPr>
        <w:t>integration of social and environmental considerations</w:t>
      </w:r>
      <w:r w:rsidR="003635AE" w:rsidRPr="00637861">
        <w:rPr>
          <w:i/>
          <w:iCs/>
          <w:color w:val="000000" w:themeColor="text1"/>
        </w:rPr>
        <w:t xml:space="preserve">. </w:t>
      </w:r>
      <w:r w:rsidR="00080B0B" w:rsidRPr="00637861">
        <w:rPr>
          <w:i/>
          <w:iCs/>
          <w:color w:val="000000" w:themeColor="text1"/>
        </w:rPr>
        <w:t>Within the emerging sustainable finance trend,</w:t>
      </w:r>
      <w:r w:rsidR="002864B0" w:rsidRPr="00637861">
        <w:rPr>
          <w:i/>
          <w:iCs/>
          <w:color w:val="000000" w:themeColor="text1"/>
        </w:rPr>
        <w:t xml:space="preserve"> shoots of change are visible: new financial instruments</w:t>
      </w:r>
      <w:r w:rsidR="005F6D27" w:rsidRPr="00637861">
        <w:rPr>
          <w:i/>
          <w:iCs/>
          <w:color w:val="000000" w:themeColor="text1"/>
        </w:rPr>
        <w:t xml:space="preserve">, such as green or sustainability-linked </w:t>
      </w:r>
      <w:r w:rsidR="00080B0B" w:rsidRPr="00637861">
        <w:rPr>
          <w:i/>
          <w:iCs/>
          <w:color w:val="000000" w:themeColor="text1"/>
        </w:rPr>
        <w:t>bonds and loans</w:t>
      </w:r>
      <w:r w:rsidR="005F6D27" w:rsidRPr="00637861">
        <w:rPr>
          <w:i/>
          <w:iCs/>
          <w:color w:val="000000" w:themeColor="text1"/>
        </w:rPr>
        <w:t>,</w:t>
      </w:r>
      <w:r w:rsidR="002864B0" w:rsidRPr="00637861">
        <w:rPr>
          <w:i/>
          <w:iCs/>
          <w:color w:val="000000" w:themeColor="text1"/>
        </w:rPr>
        <w:t xml:space="preserve"> </w:t>
      </w:r>
      <w:r w:rsidR="008D5834" w:rsidRPr="00637861">
        <w:rPr>
          <w:i/>
          <w:iCs/>
          <w:color w:val="000000" w:themeColor="text1"/>
        </w:rPr>
        <w:t xml:space="preserve">appear to </w:t>
      </w:r>
      <w:r w:rsidR="00F66BE2">
        <w:rPr>
          <w:i/>
          <w:iCs/>
          <w:color w:val="000000" w:themeColor="text1"/>
        </w:rPr>
        <w:t xml:space="preserve">be </w:t>
      </w:r>
      <w:r w:rsidR="008D5834" w:rsidRPr="00637861">
        <w:rPr>
          <w:i/>
          <w:iCs/>
          <w:color w:val="000000" w:themeColor="text1"/>
        </w:rPr>
        <w:t>reorient</w:t>
      </w:r>
      <w:r w:rsidR="00F66BE2">
        <w:rPr>
          <w:i/>
          <w:iCs/>
          <w:color w:val="000000" w:themeColor="text1"/>
        </w:rPr>
        <w:t>ing</w:t>
      </w:r>
      <w:r w:rsidR="008D5834" w:rsidRPr="00637861">
        <w:rPr>
          <w:i/>
          <w:iCs/>
          <w:color w:val="000000" w:themeColor="text1"/>
        </w:rPr>
        <w:t xml:space="preserve"> the market relationships around sustainability impact issues.</w:t>
      </w:r>
      <w:r w:rsidR="00CB16E0" w:rsidRPr="00637861">
        <w:rPr>
          <w:i/>
          <w:iCs/>
          <w:color w:val="000000" w:themeColor="text1"/>
        </w:rPr>
        <w:t xml:space="preserve"> </w:t>
      </w:r>
      <w:r w:rsidR="00F83416" w:rsidRPr="00637861">
        <w:rPr>
          <w:i/>
          <w:iCs/>
          <w:color w:val="000000" w:themeColor="text1"/>
        </w:rPr>
        <w:t xml:space="preserve">A sociolegal and legal institutionalist analysis of this trend reveals how </w:t>
      </w:r>
      <w:r w:rsidR="00ED0F8C" w:rsidRPr="00637861">
        <w:rPr>
          <w:i/>
          <w:iCs/>
          <w:color w:val="000000" w:themeColor="text1"/>
        </w:rPr>
        <w:t xml:space="preserve">such instruments shape and are shaped by </w:t>
      </w:r>
      <w:r w:rsidR="00F83416" w:rsidRPr="00637861">
        <w:rPr>
          <w:i/>
          <w:iCs/>
          <w:color w:val="000000" w:themeColor="text1"/>
        </w:rPr>
        <w:t xml:space="preserve">different facilitative, regulatory and </w:t>
      </w:r>
      <w:r w:rsidR="00ED0F8C" w:rsidRPr="00637861">
        <w:rPr>
          <w:i/>
          <w:iCs/>
          <w:color w:val="000000" w:themeColor="text1"/>
        </w:rPr>
        <w:t>constitutive</w:t>
      </w:r>
      <w:r w:rsidR="00CE35DA" w:rsidRPr="00637861">
        <w:rPr>
          <w:i/>
          <w:iCs/>
          <w:color w:val="000000" w:themeColor="text1"/>
        </w:rPr>
        <w:t xml:space="preserve"> facets of law</w:t>
      </w:r>
      <w:r w:rsidR="000345C5" w:rsidRPr="00637861">
        <w:rPr>
          <w:i/>
          <w:iCs/>
          <w:color w:val="000000" w:themeColor="text1"/>
        </w:rPr>
        <w:t>.</w:t>
      </w:r>
      <w:r w:rsidR="00ED0F8C" w:rsidRPr="00637861">
        <w:rPr>
          <w:i/>
          <w:iCs/>
          <w:color w:val="000000" w:themeColor="text1"/>
        </w:rPr>
        <w:t xml:space="preserve"> U</w:t>
      </w:r>
      <w:r w:rsidR="00EC502D" w:rsidRPr="00637861">
        <w:rPr>
          <w:i/>
          <w:iCs/>
          <w:color w:val="000000" w:themeColor="text1"/>
        </w:rPr>
        <w:t>sing EU green bond</w:t>
      </w:r>
      <w:r w:rsidR="00CE35DA" w:rsidRPr="00637861">
        <w:rPr>
          <w:i/>
          <w:iCs/>
          <w:color w:val="000000" w:themeColor="text1"/>
        </w:rPr>
        <w:t xml:space="preserve"> issuance</w:t>
      </w:r>
      <w:r w:rsidR="00EC502D" w:rsidRPr="00637861">
        <w:rPr>
          <w:i/>
          <w:iCs/>
          <w:color w:val="000000" w:themeColor="text1"/>
        </w:rPr>
        <w:t xml:space="preserve">s </w:t>
      </w:r>
      <w:r w:rsidR="007C46D5" w:rsidRPr="00637861">
        <w:rPr>
          <w:i/>
          <w:iCs/>
          <w:color w:val="000000" w:themeColor="text1"/>
        </w:rPr>
        <w:t xml:space="preserve">as a case study, </w:t>
      </w:r>
      <w:r w:rsidR="00ED0F8C" w:rsidRPr="00637861">
        <w:rPr>
          <w:i/>
          <w:iCs/>
          <w:color w:val="000000" w:themeColor="text1"/>
        </w:rPr>
        <w:t xml:space="preserve">the article </w:t>
      </w:r>
      <w:r w:rsidR="007C46D5" w:rsidRPr="00637861">
        <w:rPr>
          <w:i/>
          <w:iCs/>
          <w:color w:val="000000" w:themeColor="text1"/>
        </w:rPr>
        <w:t xml:space="preserve">highlights </w:t>
      </w:r>
      <w:r w:rsidR="00CF6E21" w:rsidRPr="00637861">
        <w:rPr>
          <w:i/>
          <w:iCs/>
          <w:color w:val="000000" w:themeColor="text1"/>
        </w:rPr>
        <w:t xml:space="preserve">how law </w:t>
      </w:r>
      <w:r w:rsidR="00B942BE" w:rsidRPr="00637861">
        <w:rPr>
          <w:i/>
          <w:iCs/>
          <w:color w:val="000000" w:themeColor="text1"/>
        </w:rPr>
        <w:t xml:space="preserve">expands and </w:t>
      </w:r>
      <w:r w:rsidR="00F66BE2">
        <w:rPr>
          <w:i/>
          <w:iCs/>
          <w:color w:val="000000" w:themeColor="text1"/>
        </w:rPr>
        <w:t>limit</w:t>
      </w:r>
      <w:r w:rsidR="00F66BE2" w:rsidRPr="00637861">
        <w:rPr>
          <w:i/>
          <w:iCs/>
          <w:color w:val="000000" w:themeColor="text1"/>
        </w:rPr>
        <w:t xml:space="preserve">s </w:t>
      </w:r>
      <w:r w:rsidR="0009181E" w:rsidRPr="00637861">
        <w:rPr>
          <w:i/>
          <w:iCs/>
          <w:color w:val="000000" w:themeColor="text1"/>
        </w:rPr>
        <w:t xml:space="preserve">the </w:t>
      </w:r>
      <w:r w:rsidR="00653CDD" w:rsidRPr="00637861">
        <w:rPr>
          <w:i/>
          <w:iCs/>
          <w:color w:val="000000" w:themeColor="text1"/>
        </w:rPr>
        <w:t xml:space="preserve">transformative potential of </w:t>
      </w:r>
      <w:r w:rsidR="00010BD2" w:rsidRPr="00637861">
        <w:rPr>
          <w:i/>
          <w:iCs/>
          <w:color w:val="000000" w:themeColor="text1"/>
        </w:rPr>
        <w:t>such novel financial instruments</w:t>
      </w:r>
      <w:r w:rsidR="00653CDD" w:rsidRPr="00637861">
        <w:rPr>
          <w:i/>
          <w:iCs/>
          <w:color w:val="000000" w:themeColor="text1"/>
        </w:rPr>
        <w:t xml:space="preserve">. </w:t>
      </w:r>
      <w:r w:rsidR="003F1A9D" w:rsidRPr="00637861">
        <w:rPr>
          <w:i/>
          <w:iCs/>
          <w:color w:val="000000" w:themeColor="text1"/>
        </w:rPr>
        <w:t xml:space="preserve">The analysis is revealing of the co-constitutive dynamics of </w:t>
      </w:r>
      <w:r w:rsidR="00010BD2" w:rsidRPr="00637861">
        <w:rPr>
          <w:i/>
          <w:iCs/>
          <w:color w:val="000000" w:themeColor="text1"/>
        </w:rPr>
        <w:t xml:space="preserve">law and </w:t>
      </w:r>
      <w:r w:rsidR="003F1A9D" w:rsidRPr="00637861">
        <w:rPr>
          <w:i/>
          <w:iCs/>
          <w:color w:val="000000" w:themeColor="text1"/>
        </w:rPr>
        <w:t xml:space="preserve">sustainable finance. </w:t>
      </w:r>
      <w:r w:rsidR="004A3F1A" w:rsidRPr="00637861">
        <w:rPr>
          <w:i/>
          <w:iCs/>
          <w:color w:val="000000" w:themeColor="text1"/>
        </w:rPr>
        <w:t>In this context</w:t>
      </w:r>
      <w:r w:rsidR="0081188C">
        <w:rPr>
          <w:i/>
          <w:iCs/>
          <w:color w:val="000000" w:themeColor="text1"/>
        </w:rPr>
        <w:t>,</w:t>
      </w:r>
      <w:r w:rsidR="004A3F1A" w:rsidRPr="00637861">
        <w:rPr>
          <w:i/>
          <w:iCs/>
          <w:color w:val="000000" w:themeColor="text1"/>
        </w:rPr>
        <w:t xml:space="preserve"> </w:t>
      </w:r>
      <w:r w:rsidR="00F66BE2" w:rsidRPr="00637861">
        <w:rPr>
          <w:i/>
          <w:iCs/>
          <w:color w:val="000000" w:themeColor="text1"/>
        </w:rPr>
        <w:t>th</w:t>
      </w:r>
      <w:r w:rsidR="00F66BE2">
        <w:rPr>
          <w:i/>
          <w:iCs/>
          <w:color w:val="000000" w:themeColor="text1"/>
        </w:rPr>
        <w:t>e</w:t>
      </w:r>
      <w:r w:rsidR="00F66BE2" w:rsidRPr="00637861">
        <w:rPr>
          <w:i/>
          <w:iCs/>
          <w:color w:val="000000" w:themeColor="text1"/>
        </w:rPr>
        <w:t xml:space="preserve"> </w:t>
      </w:r>
      <w:r w:rsidR="004A3F1A" w:rsidRPr="00637861">
        <w:rPr>
          <w:i/>
          <w:iCs/>
          <w:color w:val="000000" w:themeColor="text1"/>
        </w:rPr>
        <w:t xml:space="preserve">article makes </w:t>
      </w:r>
      <w:r w:rsidR="00190358" w:rsidRPr="00637861">
        <w:rPr>
          <w:i/>
          <w:iCs/>
          <w:color w:val="000000" w:themeColor="text1"/>
        </w:rPr>
        <w:t>three</w:t>
      </w:r>
      <w:r w:rsidR="004A3F1A" w:rsidRPr="00637861">
        <w:rPr>
          <w:i/>
          <w:iCs/>
          <w:color w:val="000000" w:themeColor="text1"/>
        </w:rPr>
        <w:t xml:space="preserve"> contributions. First</w:t>
      </w:r>
      <w:r w:rsidR="00F66BE2">
        <w:rPr>
          <w:i/>
          <w:iCs/>
          <w:color w:val="000000" w:themeColor="text1"/>
        </w:rPr>
        <w:t>ly</w:t>
      </w:r>
      <w:r w:rsidR="004A3F1A" w:rsidRPr="00637861">
        <w:rPr>
          <w:i/>
          <w:iCs/>
          <w:color w:val="000000" w:themeColor="text1"/>
        </w:rPr>
        <w:t>,</w:t>
      </w:r>
      <w:r w:rsidR="006F70B6" w:rsidRPr="00637861">
        <w:rPr>
          <w:i/>
          <w:iCs/>
          <w:color w:val="000000" w:themeColor="text1"/>
        </w:rPr>
        <w:t xml:space="preserve"> it offers a</w:t>
      </w:r>
      <w:r w:rsidR="005511B9" w:rsidRPr="00637861">
        <w:rPr>
          <w:i/>
          <w:iCs/>
          <w:color w:val="000000" w:themeColor="text1"/>
        </w:rPr>
        <w:t xml:space="preserve"> comparative</w:t>
      </w:r>
      <w:r w:rsidR="006F70B6" w:rsidRPr="00637861">
        <w:rPr>
          <w:i/>
          <w:iCs/>
          <w:color w:val="000000" w:themeColor="text1"/>
        </w:rPr>
        <w:t xml:space="preserve"> case study of law’s co-constitutive dynamics </w:t>
      </w:r>
      <w:r w:rsidR="00990FFE" w:rsidRPr="00637861">
        <w:rPr>
          <w:i/>
          <w:iCs/>
          <w:color w:val="000000" w:themeColor="text1"/>
        </w:rPr>
        <w:t xml:space="preserve">in the case of </w:t>
      </w:r>
      <w:r w:rsidR="00AC7842" w:rsidRPr="00637861">
        <w:rPr>
          <w:i/>
          <w:iCs/>
          <w:color w:val="000000" w:themeColor="text1"/>
        </w:rPr>
        <w:t>financial innovation designed for environmental and social impact. Second</w:t>
      </w:r>
      <w:r w:rsidR="00F66BE2">
        <w:rPr>
          <w:i/>
          <w:iCs/>
          <w:color w:val="000000" w:themeColor="text1"/>
        </w:rPr>
        <w:t>ly</w:t>
      </w:r>
      <w:r w:rsidR="00AC7842" w:rsidRPr="00637861">
        <w:rPr>
          <w:i/>
          <w:iCs/>
          <w:color w:val="000000" w:themeColor="text1"/>
        </w:rPr>
        <w:t xml:space="preserve">, it </w:t>
      </w:r>
      <w:r w:rsidR="00190358" w:rsidRPr="00637861">
        <w:rPr>
          <w:i/>
          <w:iCs/>
          <w:color w:val="000000" w:themeColor="text1"/>
        </w:rPr>
        <w:t>identifies</w:t>
      </w:r>
      <w:r w:rsidR="000438AE" w:rsidRPr="00637861">
        <w:rPr>
          <w:i/>
          <w:iCs/>
          <w:color w:val="000000" w:themeColor="text1"/>
        </w:rPr>
        <w:t xml:space="preserve"> </w:t>
      </w:r>
      <w:r w:rsidR="00AC7842" w:rsidRPr="00637861">
        <w:rPr>
          <w:i/>
          <w:iCs/>
          <w:color w:val="000000" w:themeColor="text1"/>
        </w:rPr>
        <w:t xml:space="preserve">the co-constitutive </w:t>
      </w:r>
      <w:r w:rsidR="000438AE" w:rsidRPr="00637861">
        <w:rPr>
          <w:i/>
          <w:iCs/>
          <w:color w:val="000000" w:themeColor="text1"/>
        </w:rPr>
        <w:t>dynamics of law and (sustainable) finance</w:t>
      </w:r>
      <w:r w:rsidR="005511B9" w:rsidRPr="00637861">
        <w:rPr>
          <w:i/>
          <w:iCs/>
          <w:color w:val="000000" w:themeColor="text1"/>
        </w:rPr>
        <w:t xml:space="preserve"> </w:t>
      </w:r>
      <w:r w:rsidR="003338DC" w:rsidRPr="00637861">
        <w:rPr>
          <w:i/>
          <w:iCs/>
          <w:color w:val="000000" w:themeColor="text1"/>
        </w:rPr>
        <w:t>relating to differentiation and expansion</w:t>
      </w:r>
      <w:r w:rsidR="001736D1" w:rsidRPr="00637861">
        <w:rPr>
          <w:i/>
          <w:iCs/>
          <w:color w:val="000000" w:themeColor="text1"/>
        </w:rPr>
        <w:t xml:space="preserve">. </w:t>
      </w:r>
      <w:r w:rsidR="004A3F1A" w:rsidRPr="00637861">
        <w:rPr>
          <w:i/>
          <w:iCs/>
          <w:color w:val="000000" w:themeColor="text1"/>
        </w:rPr>
        <w:t>Third</w:t>
      </w:r>
      <w:r w:rsidR="00CC728D">
        <w:rPr>
          <w:i/>
          <w:iCs/>
          <w:color w:val="000000" w:themeColor="text1"/>
        </w:rPr>
        <w:t>ly</w:t>
      </w:r>
      <w:r w:rsidR="004A3F1A" w:rsidRPr="00637861">
        <w:rPr>
          <w:i/>
          <w:iCs/>
          <w:color w:val="000000" w:themeColor="text1"/>
        </w:rPr>
        <w:t>,</w:t>
      </w:r>
      <w:r w:rsidR="00AE1188" w:rsidRPr="00637861">
        <w:rPr>
          <w:i/>
          <w:iCs/>
          <w:color w:val="000000" w:themeColor="text1"/>
        </w:rPr>
        <w:t xml:space="preserve"> </w:t>
      </w:r>
      <w:r w:rsidR="005511B9" w:rsidRPr="00637861">
        <w:rPr>
          <w:i/>
          <w:iCs/>
          <w:color w:val="000000" w:themeColor="text1"/>
        </w:rPr>
        <w:t xml:space="preserve">it </w:t>
      </w:r>
      <w:r w:rsidR="003338DC" w:rsidRPr="00637861">
        <w:rPr>
          <w:i/>
          <w:iCs/>
          <w:color w:val="000000" w:themeColor="text1"/>
        </w:rPr>
        <w:t>find</w:t>
      </w:r>
      <w:r w:rsidR="0007473B" w:rsidRPr="00637861">
        <w:rPr>
          <w:i/>
          <w:iCs/>
          <w:color w:val="000000" w:themeColor="text1"/>
        </w:rPr>
        <w:t>s</w:t>
      </w:r>
      <w:r w:rsidR="005511B9" w:rsidRPr="00637861">
        <w:rPr>
          <w:i/>
          <w:iCs/>
          <w:color w:val="000000" w:themeColor="text1"/>
        </w:rPr>
        <w:t xml:space="preserve"> </w:t>
      </w:r>
      <w:r w:rsidR="004639BD" w:rsidRPr="00637861">
        <w:rPr>
          <w:i/>
          <w:iCs/>
          <w:color w:val="000000" w:themeColor="text1"/>
        </w:rPr>
        <w:t xml:space="preserve">variance in </w:t>
      </w:r>
      <w:r w:rsidR="00CC728D">
        <w:rPr>
          <w:i/>
          <w:iCs/>
          <w:color w:val="000000" w:themeColor="text1"/>
        </w:rPr>
        <w:t xml:space="preserve">the </w:t>
      </w:r>
      <w:r w:rsidR="004639BD" w:rsidRPr="00637861">
        <w:rPr>
          <w:i/>
          <w:iCs/>
          <w:color w:val="000000" w:themeColor="text1"/>
        </w:rPr>
        <w:t xml:space="preserve">law’s </w:t>
      </w:r>
      <w:r w:rsidR="004A3F1A" w:rsidRPr="00637861">
        <w:rPr>
          <w:i/>
          <w:iCs/>
          <w:color w:val="000000" w:themeColor="text1"/>
        </w:rPr>
        <w:t>co-constitutive role at the micro-level of financial interactions</w:t>
      </w:r>
      <w:r w:rsidR="00CC728D">
        <w:rPr>
          <w:i/>
          <w:iCs/>
          <w:color w:val="000000" w:themeColor="text1"/>
        </w:rPr>
        <w:t>,</w:t>
      </w:r>
      <w:r w:rsidR="004A3F1A" w:rsidRPr="00637861">
        <w:rPr>
          <w:i/>
          <w:iCs/>
          <w:color w:val="000000" w:themeColor="text1"/>
        </w:rPr>
        <w:t xml:space="preserve"> </w:t>
      </w:r>
      <w:r w:rsidR="00C12332" w:rsidRPr="00637861">
        <w:rPr>
          <w:i/>
          <w:iCs/>
          <w:color w:val="000000" w:themeColor="text1"/>
        </w:rPr>
        <w:t xml:space="preserve">and in </w:t>
      </w:r>
      <w:r w:rsidR="004A3F1A" w:rsidRPr="00637861">
        <w:rPr>
          <w:i/>
          <w:iCs/>
          <w:color w:val="000000" w:themeColor="text1"/>
        </w:rPr>
        <w:t>meso-structures that emerge in the context of sustainable finance specifically</w:t>
      </w:r>
      <w:r w:rsidR="0007473B" w:rsidRPr="00637861">
        <w:rPr>
          <w:i/>
          <w:iCs/>
          <w:color w:val="000000" w:themeColor="text1"/>
        </w:rPr>
        <w:t xml:space="preserve">. </w:t>
      </w:r>
      <w:r w:rsidR="003338DC" w:rsidRPr="00637861">
        <w:rPr>
          <w:i/>
          <w:iCs/>
          <w:color w:val="000000" w:themeColor="text1"/>
        </w:rPr>
        <w:t xml:space="preserve">To the extent that sustainable debt instruments are increasingly linked to a company’s overall performance and corporate governance, </w:t>
      </w:r>
      <w:r w:rsidR="0007473B" w:rsidRPr="00637861">
        <w:rPr>
          <w:i/>
          <w:iCs/>
          <w:color w:val="000000" w:themeColor="text1"/>
        </w:rPr>
        <w:t>the article’s findings have implications for the integration of social concerns in financial instruments.</w:t>
      </w:r>
    </w:p>
    <w:p w14:paraId="71D1222C" w14:textId="77777777" w:rsidR="00E73F1B" w:rsidRPr="00637861" w:rsidRDefault="00E73F1B" w:rsidP="0007473B">
      <w:pPr>
        <w:pStyle w:val="default"/>
        <w:spacing w:before="0" w:beforeAutospacing="0" w:after="120" w:afterAutospacing="0" w:line="360" w:lineRule="auto"/>
        <w:jc w:val="both"/>
        <w:rPr>
          <w:i/>
          <w:iCs/>
          <w:color w:val="000000" w:themeColor="text1"/>
        </w:rPr>
      </w:pPr>
    </w:p>
    <w:p w14:paraId="1B23B7D6" w14:textId="19F35A57" w:rsidR="00A009D1" w:rsidRPr="00637861" w:rsidRDefault="00A009D1" w:rsidP="0007473B">
      <w:pPr>
        <w:pStyle w:val="default"/>
        <w:spacing w:before="0" w:beforeAutospacing="0" w:after="120" w:afterAutospacing="0" w:line="360" w:lineRule="auto"/>
        <w:jc w:val="both"/>
        <w:rPr>
          <w:i/>
          <w:iCs/>
          <w:color w:val="000000" w:themeColor="text1"/>
        </w:rPr>
      </w:pPr>
      <w:r w:rsidRPr="00637861">
        <w:rPr>
          <w:i/>
          <w:iCs/>
          <w:color w:val="000000" w:themeColor="text1"/>
        </w:rPr>
        <w:br w:type="page"/>
      </w:r>
    </w:p>
    <w:p w14:paraId="3B424A1F" w14:textId="573DC0FC" w:rsidR="00661A40" w:rsidRPr="00637861" w:rsidRDefault="00E118C3" w:rsidP="00A05A67">
      <w:pPr>
        <w:pStyle w:val="Nagwek1"/>
        <w:numPr>
          <w:ilvl w:val="0"/>
          <w:numId w:val="11"/>
        </w:numPr>
        <w:spacing w:before="0" w:after="120" w:line="360" w:lineRule="auto"/>
        <w:jc w:val="both"/>
        <w:rPr>
          <w:rFonts w:ascii="Times New Roman" w:hAnsi="Times New Roman" w:cs="Times New Roman"/>
          <w:b/>
          <w:bCs/>
          <w:color w:val="000000" w:themeColor="text1"/>
          <w:sz w:val="24"/>
          <w:szCs w:val="24"/>
        </w:rPr>
      </w:pPr>
      <w:bookmarkStart w:id="0" w:name="_Toc170377178"/>
      <w:r>
        <w:rPr>
          <w:rFonts w:ascii="Times New Roman" w:hAnsi="Times New Roman" w:cs="Times New Roman"/>
          <w:b/>
          <w:bCs/>
          <w:color w:val="000000" w:themeColor="text1"/>
          <w:sz w:val="24"/>
          <w:szCs w:val="24"/>
        </w:rPr>
        <w:lastRenderedPageBreak/>
        <w:t xml:space="preserve">Introduction. </w:t>
      </w:r>
      <w:r w:rsidR="006378D8" w:rsidRPr="00637861">
        <w:rPr>
          <w:rFonts w:ascii="Times New Roman" w:hAnsi="Times New Roman" w:cs="Times New Roman"/>
          <w:b/>
          <w:bCs/>
          <w:color w:val="000000" w:themeColor="text1"/>
          <w:sz w:val="24"/>
          <w:szCs w:val="24"/>
        </w:rPr>
        <w:t>Legal c</w:t>
      </w:r>
      <w:r w:rsidR="00D66AD4" w:rsidRPr="00637861">
        <w:rPr>
          <w:rFonts w:ascii="Times New Roman" w:hAnsi="Times New Roman" w:cs="Times New Roman"/>
          <w:b/>
          <w:bCs/>
          <w:color w:val="000000" w:themeColor="text1"/>
          <w:sz w:val="24"/>
          <w:szCs w:val="24"/>
        </w:rPr>
        <w:t xml:space="preserve">oding for sustainability: </w:t>
      </w:r>
      <w:r w:rsidR="00CC728D">
        <w:rPr>
          <w:rFonts w:ascii="Times New Roman" w:hAnsi="Times New Roman" w:cs="Times New Roman"/>
          <w:b/>
          <w:bCs/>
          <w:color w:val="000000" w:themeColor="text1"/>
          <w:sz w:val="24"/>
          <w:szCs w:val="24"/>
        </w:rPr>
        <w:t>A</w:t>
      </w:r>
      <w:r w:rsidR="00CC728D" w:rsidRPr="00637861">
        <w:rPr>
          <w:rFonts w:ascii="Times New Roman" w:hAnsi="Times New Roman" w:cs="Times New Roman"/>
          <w:b/>
          <w:bCs/>
          <w:color w:val="000000" w:themeColor="text1"/>
          <w:sz w:val="24"/>
          <w:szCs w:val="24"/>
        </w:rPr>
        <w:t xml:space="preserve"> </w:t>
      </w:r>
      <w:r w:rsidR="00D66AD4" w:rsidRPr="00637861">
        <w:rPr>
          <w:rFonts w:ascii="Times New Roman" w:hAnsi="Times New Roman" w:cs="Times New Roman"/>
          <w:b/>
          <w:bCs/>
          <w:color w:val="000000" w:themeColor="text1"/>
          <w:sz w:val="24"/>
          <w:szCs w:val="24"/>
        </w:rPr>
        <w:t>dangerous mirage?</w:t>
      </w:r>
      <w:bookmarkEnd w:id="0"/>
    </w:p>
    <w:p w14:paraId="1FB8C8BF" w14:textId="1BBB854E" w:rsidR="008B50D1" w:rsidRPr="00637861" w:rsidRDefault="00A349BA"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In 2013 </w:t>
      </w:r>
      <w:r w:rsidR="005511B9" w:rsidRPr="00637861">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Swedish</w:t>
      </w:r>
      <w:r w:rsidR="0018458D" w:rsidRPr="00637861">
        <w:rPr>
          <w:rFonts w:ascii="Times New Roman" w:hAnsi="Times New Roman" w:cs="Times New Roman"/>
          <w:color w:val="000000" w:themeColor="text1"/>
        </w:rPr>
        <w:t xml:space="preserve"> property</w:t>
      </w:r>
      <w:r w:rsidRPr="00637861">
        <w:rPr>
          <w:rFonts w:ascii="Times New Roman" w:hAnsi="Times New Roman" w:cs="Times New Roman"/>
          <w:color w:val="000000" w:themeColor="text1"/>
        </w:rPr>
        <w:t xml:space="preserve"> </w:t>
      </w:r>
      <w:r w:rsidR="0018458D" w:rsidRPr="00637861">
        <w:rPr>
          <w:rFonts w:ascii="Times New Roman" w:hAnsi="Times New Roman" w:cs="Times New Roman"/>
          <w:color w:val="000000" w:themeColor="text1"/>
        </w:rPr>
        <w:t>developer</w:t>
      </w:r>
      <w:r w:rsidRPr="00637861">
        <w:rPr>
          <w:rFonts w:ascii="Times New Roman" w:hAnsi="Times New Roman" w:cs="Times New Roman"/>
          <w:color w:val="000000" w:themeColor="text1"/>
        </w:rPr>
        <w:t xml:space="preserve"> </w:t>
      </w:r>
      <w:proofErr w:type="spellStart"/>
      <w:r w:rsidR="0018458D" w:rsidRPr="00637861">
        <w:rPr>
          <w:rFonts w:ascii="Times New Roman" w:hAnsi="Times New Roman" w:cs="Times New Roman"/>
          <w:color w:val="000000" w:themeColor="text1"/>
        </w:rPr>
        <w:t>Vasakronan</w:t>
      </w:r>
      <w:proofErr w:type="spellEnd"/>
      <w:r w:rsidR="0018458D" w:rsidRPr="00637861">
        <w:rPr>
          <w:rFonts w:ascii="Times New Roman" w:hAnsi="Times New Roman" w:cs="Times New Roman"/>
          <w:color w:val="000000" w:themeColor="text1"/>
        </w:rPr>
        <w:t xml:space="preserve"> was the first </w:t>
      </w:r>
      <w:r w:rsidR="00CC728D" w:rsidRPr="00637861">
        <w:rPr>
          <w:rFonts w:ascii="Times New Roman" w:hAnsi="Times New Roman" w:cs="Times New Roman"/>
          <w:color w:val="000000" w:themeColor="text1"/>
        </w:rPr>
        <w:t>corporat</w:t>
      </w:r>
      <w:r w:rsidR="00CC728D">
        <w:rPr>
          <w:rFonts w:ascii="Times New Roman" w:hAnsi="Times New Roman" w:cs="Times New Roman"/>
          <w:color w:val="000000" w:themeColor="text1"/>
        </w:rPr>
        <w:t>ion</w:t>
      </w:r>
      <w:r w:rsidR="00CC728D" w:rsidRPr="00637861">
        <w:rPr>
          <w:rFonts w:ascii="Times New Roman" w:hAnsi="Times New Roman" w:cs="Times New Roman"/>
          <w:color w:val="000000" w:themeColor="text1"/>
        </w:rPr>
        <w:t xml:space="preserve"> </w:t>
      </w:r>
      <w:r w:rsidR="0018458D" w:rsidRPr="00637861">
        <w:rPr>
          <w:rFonts w:ascii="Times New Roman" w:hAnsi="Times New Roman" w:cs="Times New Roman"/>
          <w:color w:val="000000" w:themeColor="text1"/>
        </w:rPr>
        <w:t xml:space="preserve">to issue </w:t>
      </w:r>
      <w:r w:rsidR="00953525" w:rsidRPr="00637861">
        <w:rPr>
          <w:rFonts w:ascii="Times New Roman" w:hAnsi="Times New Roman" w:cs="Times New Roman"/>
          <w:color w:val="000000" w:themeColor="text1"/>
        </w:rPr>
        <w:t xml:space="preserve">a </w:t>
      </w:r>
      <w:r w:rsidR="0018458D" w:rsidRPr="00637861">
        <w:rPr>
          <w:rFonts w:ascii="Times New Roman" w:hAnsi="Times New Roman" w:cs="Times New Roman"/>
          <w:color w:val="000000" w:themeColor="text1"/>
        </w:rPr>
        <w:t xml:space="preserve">bond with a </w:t>
      </w:r>
      <w:r w:rsidR="00953525" w:rsidRPr="00637861">
        <w:rPr>
          <w:rFonts w:ascii="Times New Roman" w:hAnsi="Times New Roman" w:cs="Times New Roman"/>
          <w:color w:val="000000" w:themeColor="text1"/>
        </w:rPr>
        <w:t>pre-defined</w:t>
      </w:r>
      <w:r w:rsidR="0018458D" w:rsidRPr="00637861">
        <w:rPr>
          <w:rFonts w:ascii="Times New Roman" w:hAnsi="Times New Roman" w:cs="Times New Roman"/>
          <w:color w:val="000000" w:themeColor="text1"/>
        </w:rPr>
        <w:t xml:space="preserve"> </w:t>
      </w:r>
      <w:r w:rsidR="004D0929" w:rsidRPr="00637861">
        <w:rPr>
          <w:rFonts w:ascii="Times New Roman" w:hAnsi="Times New Roman" w:cs="Times New Roman"/>
          <w:color w:val="000000" w:themeColor="text1"/>
        </w:rPr>
        <w:t>sustainable</w:t>
      </w:r>
      <w:r w:rsidR="0018458D" w:rsidRPr="00637861">
        <w:rPr>
          <w:rFonts w:ascii="Times New Roman" w:hAnsi="Times New Roman" w:cs="Times New Roman"/>
          <w:color w:val="000000" w:themeColor="text1"/>
        </w:rPr>
        <w:t xml:space="preserve"> purpose, namely to</w:t>
      </w:r>
      <w:r w:rsidR="005A52FD" w:rsidRPr="00637861">
        <w:rPr>
          <w:rFonts w:ascii="Times New Roman" w:hAnsi="Times New Roman" w:cs="Times New Roman"/>
          <w:color w:val="000000" w:themeColor="text1"/>
        </w:rPr>
        <w:t xml:space="preserve"> finance</w:t>
      </w:r>
      <w:r w:rsidR="004C72E8" w:rsidRPr="00637861">
        <w:rPr>
          <w:rFonts w:ascii="Times New Roman" w:hAnsi="Times New Roman" w:cs="Times New Roman"/>
          <w:color w:val="000000" w:themeColor="text1"/>
        </w:rPr>
        <w:t xml:space="preserve"> the</w:t>
      </w:r>
      <w:r w:rsidR="0018458D" w:rsidRPr="00637861">
        <w:rPr>
          <w:rFonts w:ascii="Times New Roman" w:hAnsi="Times New Roman" w:cs="Times New Roman"/>
          <w:color w:val="000000" w:themeColor="text1"/>
        </w:rPr>
        <w:t xml:space="preserve"> improve</w:t>
      </w:r>
      <w:r w:rsidR="004C72E8" w:rsidRPr="00637861">
        <w:rPr>
          <w:rFonts w:ascii="Times New Roman" w:hAnsi="Times New Roman" w:cs="Times New Roman"/>
          <w:color w:val="000000" w:themeColor="text1"/>
        </w:rPr>
        <w:t>ment of</w:t>
      </w:r>
      <w:r w:rsidR="0018458D" w:rsidRPr="00637861">
        <w:rPr>
          <w:rFonts w:ascii="Times New Roman" w:hAnsi="Times New Roman" w:cs="Times New Roman"/>
          <w:color w:val="000000" w:themeColor="text1"/>
        </w:rPr>
        <w:t xml:space="preserve"> the energy performance of </w:t>
      </w:r>
      <w:r w:rsidR="001A5783" w:rsidRPr="00637861">
        <w:rPr>
          <w:rFonts w:ascii="Times New Roman" w:hAnsi="Times New Roman" w:cs="Times New Roman"/>
          <w:color w:val="000000" w:themeColor="text1"/>
        </w:rPr>
        <w:t>buildings</w:t>
      </w:r>
      <w:r w:rsidR="004C72E8" w:rsidRPr="00637861">
        <w:rPr>
          <w:rFonts w:ascii="Times New Roman" w:hAnsi="Times New Roman" w:cs="Times New Roman"/>
          <w:color w:val="000000" w:themeColor="text1"/>
        </w:rPr>
        <w:t xml:space="preserve"> in its portfolio</w:t>
      </w:r>
      <w:r w:rsidR="001A5783" w:rsidRPr="00637861">
        <w:rPr>
          <w:rFonts w:ascii="Times New Roman" w:hAnsi="Times New Roman" w:cs="Times New Roman"/>
          <w:color w:val="000000" w:themeColor="text1"/>
        </w:rPr>
        <w:t>.</w:t>
      </w:r>
      <w:r w:rsidR="008B50D1" w:rsidRPr="00637861">
        <w:rPr>
          <w:rStyle w:val="Odwoanieprzypisudolnego"/>
          <w:rFonts w:ascii="Times New Roman" w:hAnsi="Times New Roman" w:cs="Times New Roman"/>
          <w:color w:val="000000" w:themeColor="text1"/>
        </w:rPr>
        <w:footnoteReference w:id="2"/>
      </w:r>
      <w:r w:rsidR="008B50D1" w:rsidRPr="00637861">
        <w:rPr>
          <w:rFonts w:ascii="Times New Roman" w:hAnsi="Times New Roman" w:cs="Times New Roman"/>
          <w:color w:val="000000" w:themeColor="text1"/>
        </w:rPr>
        <w:t xml:space="preserve"> In 2019, the Italian energy company ENEL raised capital through </w:t>
      </w:r>
      <w:r w:rsidR="00CC728D" w:rsidRPr="00637861">
        <w:rPr>
          <w:rFonts w:ascii="Times New Roman" w:hAnsi="Times New Roman" w:cs="Times New Roman"/>
          <w:color w:val="000000" w:themeColor="text1"/>
        </w:rPr>
        <w:t>general</w:t>
      </w:r>
      <w:r w:rsidR="00CC728D">
        <w:rPr>
          <w:rFonts w:ascii="Times New Roman" w:hAnsi="Times New Roman" w:cs="Times New Roman"/>
          <w:color w:val="000000" w:themeColor="text1"/>
        </w:rPr>
        <w:t>-</w:t>
      </w:r>
      <w:r w:rsidR="008B50D1" w:rsidRPr="00637861">
        <w:rPr>
          <w:rFonts w:ascii="Times New Roman" w:hAnsi="Times New Roman" w:cs="Times New Roman"/>
          <w:color w:val="000000" w:themeColor="text1"/>
        </w:rPr>
        <w:t>purpose issuance linked to a commitment to decarbonise its activities over the lifecycle of the bond, agreeing to a step-up on the repayment costs in the alternative.</w:t>
      </w:r>
      <w:r w:rsidR="008B50D1" w:rsidRPr="00637861">
        <w:rPr>
          <w:rStyle w:val="Odwoanieprzypisudolnego"/>
          <w:rFonts w:ascii="Times New Roman" w:hAnsi="Times New Roman" w:cs="Times New Roman"/>
          <w:color w:val="000000" w:themeColor="text1"/>
        </w:rPr>
        <w:footnoteReference w:id="3"/>
      </w:r>
      <w:r w:rsidR="008B50D1" w:rsidRPr="00637861">
        <w:rPr>
          <w:rFonts w:ascii="Times New Roman" w:hAnsi="Times New Roman" w:cs="Times New Roman"/>
          <w:color w:val="000000" w:themeColor="text1"/>
        </w:rPr>
        <w:t xml:space="preserve"> These two types of financial instruments, offered as loans or bonds, are known respectively as ‘use of proceeds’ instruments </w:t>
      </w:r>
      <w:r w:rsidR="00CC728D">
        <w:rPr>
          <w:rFonts w:ascii="Times New Roman" w:hAnsi="Times New Roman" w:cs="Times New Roman"/>
          <w:color w:val="000000" w:themeColor="text1"/>
        </w:rPr>
        <w:t xml:space="preserve">to </w:t>
      </w:r>
      <w:r w:rsidR="00CC728D" w:rsidRPr="00637861">
        <w:rPr>
          <w:rFonts w:ascii="Times New Roman" w:hAnsi="Times New Roman" w:cs="Times New Roman"/>
          <w:color w:val="000000" w:themeColor="text1"/>
        </w:rPr>
        <w:t>financ</w:t>
      </w:r>
      <w:r w:rsidR="00CC728D">
        <w:rPr>
          <w:rFonts w:ascii="Times New Roman" w:hAnsi="Times New Roman" w:cs="Times New Roman"/>
          <w:color w:val="000000" w:themeColor="text1"/>
        </w:rPr>
        <w:t>e</w:t>
      </w:r>
      <w:r w:rsidR="00CC728D"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pre-defined social or environmental projects and ‘sustainability-linked’ instruments involving commitments to improve performance over specific time horizons. Both have seen increase</w:t>
      </w:r>
      <w:r w:rsidR="00CC728D">
        <w:rPr>
          <w:rFonts w:ascii="Times New Roman" w:hAnsi="Times New Roman" w:cs="Times New Roman"/>
          <w:color w:val="000000" w:themeColor="text1"/>
        </w:rPr>
        <w:t>d</w:t>
      </w:r>
      <w:r w:rsidR="008B50D1" w:rsidRPr="00637861">
        <w:rPr>
          <w:rFonts w:ascii="Times New Roman" w:hAnsi="Times New Roman" w:cs="Times New Roman"/>
          <w:color w:val="000000" w:themeColor="text1"/>
        </w:rPr>
        <w:t xml:space="preserve"> interest from </w:t>
      </w:r>
      <w:r w:rsidR="00CC728D" w:rsidRPr="00637861">
        <w:rPr>
          <w:rFonts w:ascii="Times New Roman" w:hAnsi="Times New Roman" w:cs="Times New Roman"/>
          <w:color w:val="000000" w:themeColor="text1"/>
        </w:rPr>
        <w:t>corporat</w:t>
      </w:r>
      <w:r w:rsidR="00CC728D">
        <w:rPr>
          <w:rFonts w:ascii="Times New Roman" w:hAnsi="Times New Roman" w:cs="Times New Roman"/>
          <w:color w:val="000000" w:themeColor="text1"/>
        </w:rPr>
        <w:t>ion</w:t>
      </w:r>
      <w:r w:rsidR="00CC728D" w:rsidRPr="00637861">
        <w:rPr>
          <w:rFonts w:ascii="Times New Roman" w:hAnsi="Times New Roman" w:cs="Times New Roman"/>
          <w:color w:val="000000" w:themeColor="text1"/>
        </w:rPr>
        <w:t>s</w:t>
      </w:r>
      <w:r w:rsidR="008B50D1" w:rsidRPr="00637861">
        <w:rPr>
          <w:rFonts w:ascii="Times New Roman" w:hAnsi="Times New Roman" w:cs="Times New Roman"/>
          <w:color w:val="000000" w:themeColor="text1"/>
        </w:rPr>
        <w:t>, banks and investors, with sustainable corporate bonds comprising just under 10% of global bond issuance in 2023</w:t>
      </w:r>
      <w:r w:rsidR="00CC728D">
        <w:rPr>
          <w:rFonts w:ascii="Times New Roman" w:hAnsi="Times New Roman" w:cs="Times New Roman"/>
          <w:color w:val="000000" w:themeColor="text1"/>
        </w:rPr>
        <w:t>,</w:t>
      </w:r>
      <w:r w:rsidR="008B50D1" w:rsidRPr="00637861">
        <w:rPr>
          <w:rFonts w:ascii="Times New Roman" w:hAnsi="Times New Roman" w:cs="Times New Roman"/>
          <w:color w:val="000000" w:themeColor="text1"/>
        </w:rPr>
        <w:t xml:space="preserve"> and sustainable commercial loans </w:t>
      </w:r>
      <w:r w:rsidR="00CC728D">
        <w:rPr>
          <w:rFonts w:ascii="Times New Roman" w:hAnsi="Times New Roman" w:cs="Times New Roman"/>
          <w:color w:val="000000" w:themeColor="text1"/>
        </w:rPr>
        <w:t xml:space="preserve">covering </w:t>
      </w:r>
      <w:r w:rsidR="008B50D1" w:rsidRPr="00637861">
        <w:rPr>
          <w:rFonts w:ascii="Times New Roman" w:hAnsi="Times New Roman" w:cs="Times New Roman"/>
          <w:color w:val="000000" w:themeColor="text1"/>
        </w:rPr>
        <w:t>6% of overall lending at peak volume in 2022.</w:t>
      </w:r>
      <w:r w:rsidR="008B50D1" w:rsidRPr="00637861">
        <w:rPr>
          <w:rStyle w:val="Odwoanieprzypisudolnego"/>
          <w:rFonts w:ascii="Times New Roman" w:hAnsi="Times New Roman" w:cs="Times New Roman"/>
          <w:color w:val="000000" w:themeColor="text1"/>
        </w:rPr>
        <w:footnoteReference w:id="4"/>
      </w:r>
      <w:r w:rsidR="008B50D1" w:rsidRPr="00637861">
        <w:rPr>
          <w:rFonts w:ascii="Times New Roman" w:hAnsi="Times New Roman" w:cs="Times New Roman"/>
          <w:color w:val="000000" w:themeColor="text1"/>
        </w:rPr>
        <w:t xml:space="preserve"> </w:t>
      </w:r>
    </w:p>
    <w:p w14:paraId="7277298E" w14:textId="3FF99CBF"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The sustainable finance trend instigated a rich debate as to the real </w:t>
      </w:r>
      <w:r w:rsidR="00CC728D" w:rsidRPr="00637861">
        <w:rPr>
          <w:rFonts w:ascii="Times New Roman" w:hAnsi="Times New Roman" w:cs="Times New Roman"/>
          <w:color w:val="000000" w:themeColor="text1"/>
        </w:rPr>
        <w:t>econom</w:t>
      </w:r>
      <w:r w:rsidR="00CC728D">
        <w:rPr>
          <w:rFonts w:ascii="Times New Roman" w:hAnsi="Times New Roman" w:cs="Times New Roman"/>
          <w:color w:val="000000" w:themeColor="text1"/>
        </w:rPr>
        <w:t>ic</w:t>
      </w:r>
      <w:r w:rsidR="00CC728D"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impacts that sustainable finance may have.</w:t>
      </w:r>
      <w:r w:rsidRPr="00637861">
        <w:rPr>
          <w:rStyle w:val="Odwoanieprzypisudolnego"/>
          <w:rFonts w:ascii="Times New Roman" w:hAnsi="Times New Roman" w:cs="Times New Roman"/>
          <w:color w:val="000000" w:themeColor="text1"/>
        </w:rPr>
        <w:footnoteReference w:id="5"/>
      </w:r>
      <w:r w:rsidRPr="00637861">
        <w:rPr>
          <w:rFonts w:ascii="Times New Roman" w:hAnsi="Times New Roman" w:cs="Times New Roman"/>
          <w:color w:val="000000" w:themeColor="text1"/>
        </w:rPr>
        <w:t xml:space="preserve"> Does the </w:t>
      </w:r>
      <w:r w:rsidR="00CC728D" w:rsidRPr="00637861">
        <w:rPr>
          <w:rFonts w:ascii="Times New Roman" w:hAnsi="Times New Roman" w:cs="Times New Roman"/>
          <w:color w:val="000000" w:themeColor="text1"/>
        </w:rPr>
        <w:t xml:space="preserve">moniker </w:t>
      </w:r>
      <w:r w:rsidRPr="00637861">
        <w:rPr>
          <w:rFonts w:ascii="Times New Roman" w:hAnsi="Times New Roman" w:cs="Times New Roman"/>
          <w:color w:val="000000" w:themeColor="text1"/>
        </w:rPr>
        <w:t>ESG (environmental, social and governance) even make sense?</w:t>
      </w:r>
      <w:r w:rsidRPr="00637861">
        <w:rPr>
          <w:rStyle w:val="Odwoanieprzypisudolnego"/>
          <w:rFonts w:ascii="Times New Roman" w:hAnsi="Times New Roman" w:cs="Times New Roman"/>
          <w:color w:val="000000" w:themeColor="text1"/>
        </w:rPr>
        <w:footnoteReference w:id="6"/>
      </w:r>
      <w:r w:rsidRPr="00637861">
        <w:rPr>
          <w:rFonts w:ascii="Times New Roman" w:hAnsi="Times New Roman" w:cs="Times New Roman"/>
          <w:color w:val="000000" w:themeColor="text1"/>
        </w:rPr>
        <w:t xml:space="preserve"> If all firms are faced with the looming threat of transition and physical risks, should not all investors take into account these factors across the board, rather than developing a suite of ‘special’ green financial products? And – regarding industrial relations issues in particular – aren’t such instruments just fancy packaging for simply following the relevant environmental and labour law</w:t>
      </w:r>
      <w:r w:rsidR="00016B6E">
        <w:rPr>
          <w:rFonts w:ascii="Times New Roman" w:hAnsi="Times New Roman" w:cs="Times New Roman"/>
          <w:color w:val="000000" w:themeColor="text1"/>
        </w:rPr>
        <w:t>s</w:t>
      </w:r>
      <w:r w:rsidRPr="00637861">
        <w:rPr>
          <w:rFonts w:ascii="Times New Roman" w:hAnsi="Times New Roman" w:cs="Times New Roman"/>
          <w:color w:val="000000" w:themeColor="text1"/>
        </w:rPr>
        <w:t>? While such questions are undoubtedly well founded, the focus on the immediate outcomes of deploy</w:t>
      </w:r>
      <w:r w:rsidR="00CC728D">
        <w:rPr>
          <w:rFonts w:ascii="Times New Roman" w:hAnsi="Times New Roman" w:cs="Times New Roman"/>
          <w:color w:val="000000" w:themeColor="text1"/>
        </w:rPr>
        <w:t>ing</w:t>
      </w:r>
      <w:r w:rsidRPr="00637861">
        <w:rPr>
          <w:rFonts w:ascii="Times New Roman" w:hAnsi="Times New Roman" w:cs="Times New Roman"/>
          <w:color w:val="000000" w:themeColor="text1"/>
        </w:rPr>
        <w:t xml:space="preserve"> such instruments arguably overlooks the transformative </w:t>
      </w:r>
      <w:r w:rsidRPr="00637861">
        <w:rPr>
          <w:rFonts w:ascii="Times New Roman" w:hAnsi="Times New Roman" w:cs="Times New Roman"/>
          <w:color w:val="000000" w:themeColor="text1"/>
        </w:rPr>
        <w:lastRenderedPageBreak/>
        <w:t>potential that they may have with respect to the legal coding of capitalism.</w:t>
      </w:r>
      <w:r w:rsidRPr="00637861">
        <w:rPr>
          <w:rStyle w:val="Odwoanieprzypisudolnego"/>
          <w:rFonts w:ascii="Times New Roman" w:hAnsi="Times New Roman" w:cs="Times New Roman"/>
          <w:color w:val="000000" w:themeColor="text1"/>
        </w:rPr>
        <w:footnoteReference w:id="7"/>
      </w:r>
      <w:r w:rsidRPr="00637861">
        <w:rPr>
          <w:rFonts w:ascii="Times New Roman" w:hAnsi="Times New Roman" w:cs="Times New Roman"/>
          <w:color w:val="000000" w:themeColor="text1"/>
        </w:rPr>
        <w:t xml:space="preserve"> As I argue in this article, analysing sustainable finance instruments such as green bonds from a legal institutionalist and sociolegal perspective reveals avenues for reimagining the extractive coding of key legal modules, including company and contract law, in a way that differentiates such financial instruments from ‘traditional’ finance. Expanding the analysis beyond the formal terms of debt instruments to consider how the legal environment more broadly shapes the coming together of actors (negotiation) and enforcement (also via monitoring, marketing and macro-financial regime) further captures the potential for capitalism’s meso-structure transformations.</w:t>
      </w:r>
    </w:p>
    <w:p w14:paraId="350AF1DF" w14:textId="78D63292"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Sustainable finance is </w:t>
      </w:r>
      <w:r w:rsidR="00AA3D03" w:rsidRPr="00637861">
        <w:rPr>
          <w:rFonts w:ascii="Times New Roman" w:hAnsi="Times New Roman" w:cs="Times New Roman"/>
          <w:color w:val="000000" w:themeColor="text1"/>
        </w:rPr>
        <w:t>already recogni</w:t>
      </w:r>
      <w:r w:rsidR="00AA3D03">
        <w:rPr>
          <w:rFonts w:ascii="Times New Roman" w:hAnsi="Times New Roman" w:cs="Times New Roman"/>
          <w:color w:val="000000" w:themeColor="text1"/>
        </w:rPr>
        <w:t>s</w:t>
      </w:r>
      <w:r w:rsidR="00AA3D03" w:rsidRPr="00637861">
        <w:rPr>
          <w:rFonts w:ascii="Times New Roman" w:hAnsi="Times New Roman" w:cs="Times New Roman"/>
          <w:color w:val="000000" w:themeColor="text1"/>
        </w:rPr>
        <w:t xml:space="preserve">ed </w:t>
      </w:r>
      <w:r w:rsidRPr="00637861">
        <w:rPr>
          <w:rFonts w:ascii="Times New Roman" w:hAnsi="Times New Roman" w:cs="Times New Roman"/>
          <w:color w:val="000000" w:themeColor="text1"/>
        </w:rPr>
        <w:t>as a legal and regulatory phenomenon.</w:t>
      </w:r>
      <w:r w:rsidRPr="00637861">
        <w:rPr>
          <w:rStyle w:val="Odwoanieprzypisudolnego"/>
          <w:rFonts w:ascii="Times New Roman" w:hAnsi="Times New Roman" w:cs="Times New Roman"/>
          <w:color w:val="000000" w:themeColor="text1"/>
        </w:rPr>
        <w:footnoteReference w:id="8"/>
      </w:r>
      <w:r w:rsidRPr="00637861">
        <w:rPr>
          <w:rFonts w:ascii="Times New Roman" w:hAnsi="Times New Roman" w:cs="Times New Roman"/>
          <w:color w:val="000000" w:themeColor="text1"/>
        </w:rPr>
        <w:t xml:space="preserve"> In many jurisdictions, it is associated mostly with public regulation (taxonomies</w:t>
      </w:r>
      <w:r w:rsidR="00AA3D03">
        <w:rPr>
          <w:rFonts w:ascii="Times New Roman" w:hAnsi="Times New Roman" w:cs="Times New Roman"/>
          <w:color w:val="000000" w:themeColor="text1"/>
        </w:rPr>
        <w:t xml:space="preserve"> and</w:t>
      </w:r>
      <w:r w:rsidR="00AA3D03"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disclosure rules) and strategic litigation that expands the scope of corporate governance rules to mandatory social and environmental considerations.</w:t>
      </w:r>
      <w:r w:rsidRPr="00637861">
        <w:rPr>
          <w:rStyle w:val="Odwoanieprzypisudolnego"/>
          <w:rFonts w:ascii="Times New Roman" w:hAnsi="Times New Roman" w:cs="Times New Roman"/>
          <w:color w:val="000000" w:themeColor="text1"/>
        </w:rPr>
        <w:footnoteReference w:id="9"/>
      </w:r>
      <w:r w:rsidRPr="00637861">
        <w:rPr>
          <w:rFonts w:ascii="Times New Roman" w:hAnsi="Times New Roman" w:cs="Times New Roman"/>
          <w:color w:val="000000" w:themeColor="text1"/>
        </w:rPr>
        <w:t xml:space="preserve"> Legal scholars have also already explored how the legal structuring of green bonds differs from a governance perspective</w:t>
      </w:r>
      <w:r w:rsidR="0027476A">
        <w:rPr>
          <w:rFonts w:ascii="Times New Roman" w:hAnsi="Times New Roman" w:cs="Times New Roman"/>
          <w:color w:val="000000" w:themeColor="text1"/>
        </w:rPr>
        <w:t xml:space="preserve"> by </w:t>
      </w:r>
      <w:r w:rsidR="00BD05AD">
        <w:rPr>
          <w:rFonts w:ascii="Times New Roman" w:hAnsi="Times New Roman" w:cs="Times New Roman"/>
          <w:color w:val="000000" w:themeColor="text1"/>
        </w:rPr>
        <w:t>enabling</w:t>
      </w:r>
      <w:r w:rsidR="0027476A">
        <w:rPr>
          <w:rFonts w:ascii="Times New Roman" w:hAnsi="Times New Roman" w:cs="Times New Roman"/>
          <w:color w:val="000000" w:themeColor="text1"/>
        </w:rPr>
        <w:t xml:space="preserve"> </w:t>
      </w:r>
      <w:r w:rsidR="00BD05AD">
        <w:rPr>
          <w:rFonts w:ascii="Times New Roman" w:hAnsi="Times New Roman" w:cs="Times New Roman"/>
          <w:color w:val="000000" w:themeColor="text1"/>
        </w:rPr>
        <w:t>investors to regulate company behaviour</w:t>
      </w:r>
      <w:r w:rsidRPr="00637861">
        <w:rPr>
          <w:rStyle w:val="Odwoanieprzypisudolnego"/>
          <w:rFonts w:ascii="Times New Roman" w:hAnsi="Times New Roman" w:cs="Times New Roman"/>
          <w:color w:val="000000" w:themeColor="text1"/>
        </w:rPr>
        <w:footnoteReference w:id="10"/>
      </w:r>
      <w:r w:rsidRPr="00637861">
        <w:rPr>
          <w:rFonts w:ascii="Times New Roman" w:hAnsi="Times New Roman" w:cs="Times New Roman"/>
          <w:color w:val="000000" w:themeColor="text1"/>
        </w:rPr>
        <w:t xml:space="preserve"> and how it is shaped (and constrained) by the prevailing corporate governance regimes.</w:t>
      </w:r>
      <w:r w:rsidRPr="00637861">
        <w:rPr>
          <w:rStyle w:val="Odwoanieprzypisudolnego"/>
          <w:rFonts w:ascii="Times New Roman" w:hAnsi="Times New Roman" w:cs="Times New Roman"/>
          <w:color w:val="000000" w:themeColor="text1"/>
        </w:rPr>
        <w:footnoteReference w:id="11"/>
      </w:r>
      <w:r w:rsidRPr="00637861">
        <w:rPr>
          <w:rFonts w:ascii="Times New Roman" w:hAnsi="Times New Roman" w:cs="Times New Roman"/>
          <w:color w:val="000000" w:themeColor="text1"/>
        </w:rPr>
        <w:t xml:space="preserve"> Such explorations reveal the role of law to have been ambiguous at best: existing law limits the process of integrati</w:t>
      </w:r>
      <w:r w:rsidR="00AA3D03">
        <w:rPr>
          <w:rFonts w:ascii="Times New Roman" w:hAnsi="Times New Roman" w:cs="Times New Roman"/>
          <w:color w:val="000000" w:themeColor="text1"/>
        </w:rPr>
        <w:t>ng</w:t>
      </w:r>
      <w:r w:rsidRPr="00637861">
        <w:rPr>
          <w:rFonts w:ascii="Times New Roman" w:hAnsi="Times New Roman" w:cs="Times New Roman"/>
          <w:color w:val="000000" w:themeColor="text1"/>
        </w:rPr>
        <w:t xml:space="preserve"> sustainability concerns in financial relationships,</w:t>
      </w:r>
      <w:r w:rsidRPr="00637861">
        <w:rPr>
          <w:rStyle w:val="Odwoanieprzypisudolnego"/>
          <w:rFonts w:ascii="Times New Roman" w:hAnsi="Times New Roman" w:cs="Times New Roman"/>
          <w:color w:val="000000" w:themeColor="text1"/>
        </w:rPr>
        <w:footnoteReference w:id="12"/>
      </w:r>
      <w:r w:rsidRPr="00637861">
        <w:rPr>
          <w:rFonts w:ascii="Times New Roman" w:hAnsi="Times New Roman" w:cs="Times New Roman"/>
          <w:color w:val="000000" w:themeColor="text1"/>
        </w:rPr>
        <w:t xml:space="preserve"> and in fact undermines any sustainability commitments through </w:t>
      </w:r>
      <w:r w:rsidRPr="00637861">
        <w:rPr>
          <w:rFonts w:ascii="Times New Roman" w:hAnsi="Times New Roman" w:cs="Times New Roman"/>
          <w:color w:val="000000" w:themeColor="text1"/>
        </w:rPr>
        <w:lastRenderedPageBreak/>
        <w:t>widespread disclaimers and waivers that accompany sustainable finance instruments.</w:t>
      </w:r>
      <w:r w:rsidRPr="00637861">
        <w:rPr>
          <w:rStyle w:val="Odwoanieprzypisudolnego"/>
          <w:rFonts w:ascii="Times New Roman" w:hAnsi="Times New Roman" w:cs="Times New Roman"/>
          <w:color w:val="000000" w:themeColor="text1"/>
        </w:rPr>
        <w:footnoteReference w:id="13"/>
      </w:r>
      <w:r w:rsidRPr="00637861">
        <w:rPr>
          <w:rFonts w:ascii="Times New Roman" w:hAnsi="Times New Roman" w:cs="Times New Roman"/>
          <w:color w:val="000000" w:themeColor="text1"/>
        </w:rPr>
        <w:t xml:space="preserve"> </w:t>
      </w:r>
    </w:p>
    <w:p w14:paraId="3831E329" w14:textId="4D7228B8"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However, how sustainable finance, such as green bonds, affects the legal structuring of individual financing relationships</w:t>
      </w:r>
      <w:r w:rsidR="00AA3D03">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 as I argue in this article – </w:t>
      </w:r>
      <w:r w:rsidR="00AA3D03" w:rsidRPr="00637861">
        <w:rPr>
          <w:rFonts w:ascii="Times New Roman" w:hAnsi="Times New Roman" w:cs="Times New Roman"/>
          <w:color w:val="000000" w:themeColor="text1"/>
        </w:rPr>
        <w:t xml:space="preserve">is </w:t>
      </w:r>
      <w:r w:rsidRPr="00637861">
        <w:rPr>
          <w:rFonts w:ascii="Times New Roman" w:hAnsi="Times New Roman" w:cs="Times New Roman"/>
          <w:color w:val="000000" w:themeColor="text1"/>
        </w:rPr>
        <w:t xml:space="preserve">revealing of </w:t>
      </w:r>
      <w:r w:rsidR="00AA3D03">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transformative potential of the co-constitutive role of law in socioeconomic systems. If we </w:t>
      </w:r>
      <w:r w:rsidR="00AA3D03">
        <w:rPr>
          <w:rFonts w:ascii="Times New Roman" w:hAnsi="Times New Roman" w:cs="Times New Roman"/>
          <w:color w:val="000000" w:themeColor="text1"/>
        </w:rPr>
        <w:t>broaden</w:t>
      </w:r>
      <w:r w:rsidRPr="00637861">
        <w:rPr>
          <w:rFonts w:ascii="Times New Roman" w:hAnsi="Times New Roman" w:cs="Times New Roman"/>
          <w:color w:val="000000" w:themeColor="text1"/>
        </w:rPr>
        <w:t xml:space="preserve"> the legal analysis beyond the formal terms of the debt instrument, and consider the legal environment that shapes its content and </w:t>
      </w:r>
      <w:r w:rsidR="0005102A">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mutual expectations of actors before, </w:t>
      </w:r>
      <w:r w:rsidR="00552BEE">
        <w:rPr>
          <w:rFonts w:ascii="Times New Roman" w:hAnsi="Times New Roman" w:cs="Times New Roman"/>
          <w:color w:val="000000" w:themeColor="text1"/>
        </w:rPr>
        <w:t>during</w:t>
      </w:r>
      <w:r w:rsidRPr="00637861">
        <w:rPr>
          <w:rFonts w:ascii="Times New Roman" w:hAnsi="Times New Roman" w:cs="Times New Roman"/>
          <w:color w:val="000000" w:themeColor="text1"/>
        </w:rPr>
        <w:t xml:space="preserve"> and after</w:t>
      </w:r>
      <w:r w:rsidR="00552BEE" w:rsidRPr="00552BEE">
        <w:rPr>
          <w:rFonts w:ascii="Times New Roman" w:hAnsi="Times New Roman" w:cs="Times New Roman"/>
          <w:color w:val="000000" w:themeColor="text1"/>
        </w:rPr>
        <w:t xml:space="preserve"> </w:t>
      </w:r>
      <w:r w:rsidR="00552BEE" w:rsidRPr="00637861">
        <w:rPr>
          <w:rFonts w:ascii="Times New Roman" w:hAnsi="Times New Roman" w:cs="Times New Roman"/>
          <w:color w:val="000000" w:themeColor="text1"/>
        </w:rPr>
        <w:t>the negotiations</w:t>
      </w:r>
      <w:r w:rsidRPr="00637861">
        <w:rPr>
          <w:rFonts w:ascii="Times New Roman" w:hAnsi="Times New Roman" w:cs="Times New Roman"/>
          <w:color w:val="000000" w:themeColor="text1"/>
        </w:rPr>
        <w:t>, that is</w:t>
      </w:r>
      <w:r w:rsidR="00552BEE">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in the various forms of enforcement, a fuller picture emerges, one that suggests opportunities for </w:t>
      </w:r>
      <w:r w:rsidR="00552BEE">
        <w:rPr>
          <w:rFonts w:ascii="Times New Roman" w:hAnsi="Times New Roman" w:cs="Times New Roman"/>
          <w:color w:val="000000" w:themeColor="text1"/>
        </w:rPr>
        <w:t xml:space="preserve">the law to </w:t>
      </w:r>
      <w:r w:rsidRPr="00637861">
        <w:rPr>
          <w:rFonts w:ascii="Times New Roman" w:hAnsi="Times New Roman" w:cs="Times New Roman"/>
          <w:color w:val="000000" w:themeColor="text1"/>
        </w:rPr>
        <w:t>transform</w:t>
      </w:r>
      <w:r w:rsidR="00552BEE">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finance </w:t>
      </w:r>
      <w:r w:rsidR="00552BEE">
        <w:rPr>
          <w:rFonts w:ascii="Times New Roman" w:hAnsi="Times New Roman" w:cs="Times New Roman"/>
          <w:color w:val="000000" w:themeColor="text1"/>
        </w:rPr>
        <w:t xml:space="preserve">so as </w:t>
      </w:r>
      <w:r w:rsidRPr="00637861">
        <w:rPr>
          <w:rFonts w:ascii="Times New Roman" w:hAnsi="Times New Roman" w:cs="Times New Roman"/>
          <w:color w:val="000000" w:themeColor="text1"/>
        </w:rPr>
        <w:t>to serve shared prosperity, notwithstanding the constraints of the market-based socioeconomic models.</w:t>
      </w:r>
      <w:r w:rsidRPr="00637861">
        <w:rPr>
          <w:rStyle w:val="Odwoanieprzypisudolnego"/>
          <w:rFonts w:ascii="Times New Roman" w:hAnsi="Times New Roman" w:cs="Times New Roman"/>
          <w:color w:val="000000" w:themeColor="text1"/>
        </w:rPr>
        <w:footnoteReference w:id="14"/>
      </w:r>
    </w:p>
    <w:p w14:paraId="13E452E3" w14:textId="0A20F28D"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To this end, </w:t>
      </w:r>
      <w:r w:rsidR="00552BEE" w:rsidRPr="00637861">
        <w:rPr>
          <w:rFonts w:ascii="Times New Roman" w:hAnsi="Times New Roman" w:cs="Times New Roman"/>
          <w:color w:val="000000" w:themeColor="text1"/>
        </w:rPr>
        <w:t>th</w:t>
      </w:r>
      <w:r w:rsidR="00552BEE">
        <w:rPr>
          <w:rFonts w:ascii="Times New Roman" w:hAnsi="Times New Roman" w:cs="Times New Roman"/>
          <w:color w:val="000000" w:themeColor="text1"/>
        </w:rPr>
        <w:t>e</w:t>
      </w:r>
      <w:r w:rsidR="00552BEE"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article analys</w:t>
      </w:r>
      <w:r w:rsidR="00F95198">
        <w:rPr>
          <w:rFonts w:ascii="Times New Roman" w:hAnsi="Times New Roman" w:cs="Times New Roman"/>
          <w:color w:val="000000" w:themeColor="text1"/>
        </w:rPr>
        <w:t>e</w:t>
      </w:r>
      <w:r w:rsidRPr="00637861">
        <w:rPr>
          <w:rFonts w:ascii="Times New Roman" w:hAnsi="Times New Roman" w:cs="Times New Roman"/>
          <w:color w:val="000000" w:themeColor="text1"/>
        </w:rPr>
        <w:t xml:space="preserve">s the ‘green terms’ in green bond prospectuses issued by 35 </w:t>
      </w:r>
      <w:r w:rsidR="00F95198" w:rsidRPr="00637861">
        <w:rPr>
          <w:rFonts w:ascii="Times New Roman" w:hAnsi="Times New Roman" w:cs="Times New Roman"/>
          <w:color w:val="000000" w:themeColor="text1"/>
        </w:rPr>
        <w:t>corporat</w:t>
      </w:r>
      <w:r w:rsidR="00F95198">
        <w:rPr>
          <w:rFonts w:ascii="Times New Roman" w:hAnsi="Times New Roman" w:cs="Times New Roman"/>
          <w:color w:val="000000" w:themeColor="text1"/>
        </w:rPr>
        <w:t>ion</w:t>
      </w:r>
      <w:r w:rsidR="00F95198" w:rsidRPr="00637861">
        <w:rPr>
          <w:rFonts w:ascii="Times New Roman" w:hAnsi="Times New Roman" w:cs="Times New Roman"/>
          <w:color w:val="000000" w:themeColor="text1"/>
        </w:rPr>
        <w:t xml:space="preserve">s </w:t>
      </w:r>
      <w:r w:rsidRPr="00637861">
        <w:rPr>
          <w:rFonts w:ascii="Times New Roman" w:hAnsi="Times New Roman" w:cs="Times New Roman"/>
          <w:color w:val="000000" w:themeColor="text1"/>
        </w:rPr>
        <w:t>in four EU Member States between 2019 and 2024.</w:t>
      </w:r>
      <w:r w:rsidR="00C0181E">
        <w:rPr>
          <w:rStyle w:val="Odwoanieprzypisudolnego"/>
          <w:rFonts w:ascii="Times New Roman" w:hAnsi="Times New Roman" w:cs="Times New Roman"/>
          <w:color w:val="000000" w:themeColor="text1"/>
        </w:rPr>
        <w:footnoteReference w:id="15"/>
      </w:r>
      <w:r w:rsidRPr="00637861">
        <w:rPr>
          <w:rFonts w:ascii="Times New Roman" w:hAnsi="Times New Roman" w:cs="Times New Roman"/>
          <w:color w:val="000000" w:themeColor="text1"/>
        </w:rPr>
        <w:t xml:space="preserve"> As is further explained below, such green terms appear not only in the context of specific ‘green’ or ‘sustainability’ commitments of the issuing firm, but also in the context of waivers or risk disclosures – indeed suggesting </w:t>
      </w:r>
      <w:r w:rsidR="00AA17FC">
        <w:rPr>
          <w:rFonts w:ascii="Times New Roman" w:hAnsi="Times New Roman" w:cs="Times New Roman"/>
          <w:color w:val="000000" w:themeColor="text1"/>
        </w:rPr>
        <w:t xml:space="preserve">that </w:t>
      </w:r>
      <w:r w:rsidRPr="00637861">
        <w:rPr>
          <w:rFonts w:ascii="Times New Roman" w:hAnsi="Times New Roman" w:cs="Times New Roman"/>
          <w:color w:val="000000" w:themeColor="text1"/>
        </w:rPr>
        <w:t xml:space="preserve">legal coding of capital may </w:t>
      </w:r>
      <w:r w:rsidR="00F95198">
        <w:rPr>
          <w:rFonts w:ascii="Times New Roman" w:hAnsi="Times New Roman" w:cs="Times New Roman"/>
          <w:color w:val="000000" w:themeColor="text1"/>
        </w:rPr>
        <w:t>shield</w:t>
      </w:r>
      <w:r w:rsidR="00F95198"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such transactions against integrating sustainability goals. However, </w:t>
      </w:r>
      <w:r w:rsidR="00F95198">
        <w:rPr>
          <w:rFonts w:ascii="Times New Roman" w:hAnsi="Times New Roman" w:cs="Times New Roman"/>
          <w:color w:val="000000" w:themeColor="text1"/>
        </w:rPr>
        <w:t>this</w:t>
      </w:r>
      <w:r w:rsidR="00F95198"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finding is not universal – differences among jurisdictions offer avenues for enforceability. Furthermore, supplementing </w:t>
      </w:r>
      <w:r w:rsidR="00F95198">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legal analysis with insights from interviews with lawyers and bankers involved in the structuring of the transactions </w:t>
      </w:r>
      <w:r w:rsidR="00F95198">
        <w:rPr>
          <w:rFonts w:ascii="Times New Roman" w:hAnsi="Times New Roman" w:cs="Times New Roman"/>
          <w:color w:val="000000" w:themeColor="text1"/>
        </w:rPr>
        <w:t>can</w:t>
      </w:r>
      <w:r w:rsidRPr="00637861">
        <w:rPr>
          <w:rFonts w:ascii="Times New Roman" w:hAnsi="Times New Roman" w:cs="Times New Roman"/>
          <w:color w:val="000000" w:themeColor="text1"/>
        </w:rPr>
        <w:t xml:space="preserve"> identify changes in the broader institutional environment that influence the mutual expectations and relationships between the actors, notwithstanding the apparent constraints of the law. Overall, I show how sustainable debt’s legal environment may entail changes in the terms of interaction between market actors that are regulatory </w:t>
      </w:r>
      <w:r w:rsidR="00AC0F04">
        <w:rPr>
          <w:rFonts w:ascii="Times New Roman" w:hAnsi="Times New Roman" w:cs="Times New Roman"/>
          <w:color w:val="000000" w:themeColor="text1"/>
        </w:rPr>
        <w:t>(</w:t>
      </w:r>
      <w:r w:rsidRPr="00637861">
        <w:rPr>
          <w:rFonts w:ascii="Times New Roman" w:hAnsi="Times New Roman" w:cs="Times New Roman"/>
          <w:color w:val="000000" w:themeColor="text1"/>
        </w:rPr>
        <w:t>in the sense of shaping behaviour</w:t>
      </w:r>
      <w:r w:rsidR="00AC0F04">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facilitative </w:t>
      </w:r>
      <w:r w:rsidR="00AC0F04">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in the sense of how </w:t>
      </w:r>
      <w:r w:rsidR="00F95198">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actors are brought together</w:t>
      </w:r>
      <w:r w:rsidR="00AC0F04">
        <w:rPr>
          <w:rFonts w:ascii="Times New Roman" w:hAnsi="Times New Roman" w:cs="Times New Roman"/>
          <w:color w:val="000000" w:themeColor="text1"/>
        </w:rPr>
        <w:t>) and</w:t>
      </w:r>
      <w:r w:rsidRPr="00637861">
        <w:rPr>
          <w:rFonts w:ascii="Times New Roman" w:hAnsi="Times New Roman" w:cs="Times New Roman"/>
          <w:color w:val="000000" w:themeColor="text1"/>
        </w:rPr>
        <w:t xml:space="preserve"> foundational </w:t>
      </w:r>
      <w:r w:rsidR="00AC0F04">
        <w:rPr>
          <w:rFonts w:ascii="Times New Roman" w:hAnsi="Times New Roman" w:cs="Times New Roman"/>
          <w:color w:val="000000" w:themeColor="text1"/>
        </w:rPr>
        <w:t>(</w:t>
      </w:r>
      <w:r w:rsidRPr="00637861">
        <w:rPr>
          <w:rFonts w:ascii="Times New Roman" w:hAnsi="Times New Roman" w:cs="Times New Roman"/>
          <w:color w:val="000000" w:themeColor="text1"/>
        </w:rPr>
        <w:t>in the sense of embedding new dimensions of environmental and social sustainability concerns into the firm</w:t>
      </w:r>
      <w:r w:rsidR="00F95198">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finance </w:t>
      </w:r>
      <w:r w:rsidRPr="00637861">
        <w:rPr>
          <w:rFonts w:ascii="Times New Roman" w:hAnsi="Times New Roman" w:cs="Times New Roman"/>
          <w:color w:val="000000" w:themeColor="text1"/>
        </w:rPr>
        <w:lastRenderedPageBreak/>
        <w:t>relationships</w:t>
      </w:r>
      <w:r w:rsidR="00AC0F04">
        <w:rPr>
          <w:rFonts w:ascii="Times New Roman" w:hAnsi="Times New Roman" w:cs="Times New Roman"/>
          <w:color w:val="000000" w:themeColor="text1"/>
        </w:rPr>
        <w:t>)</w:t>
      </w:r>
      <w:r w:rsidRPr="00637861">
        <w:rPr>
          <w:rFonts w:ascii="Times New Roman" w:hAnsi="Times New Roman" w:cs="Times New Roman"/>
          <w:color w:val="000000" w:themeColor="text1"/>
        </w:rPr>
        <w:t>.</w:t>
      </w:r>
      <w:r w:rsidRPr="00637861">
        <w:rPr>
          <w:rStyle w:val="Odwoanieprzypisudolnego"/>
          <w:rFonts w:ascii="Times New Roman" w:hAnsi="Times New Roman" w:cs="Times New Roman"/>
          <w:color w:val="000000" w:themeColor="text1"/>
        </w:rPr>
        <w:footnoteReference w:id="16"/>
      </w:r>
      <w:r w:rsidRPr="00637861">
        <w:rPr>
          <w:rFonts w:ascii="Times New Roman" w:hAnsi="Times New Roman" w:cs="Times New Roman"/>
          <w:color w:val="000000" w:themeColor="text1"/>
        </w:rPr>
        <w:t xml:space="preserve"> To the extent that sustainable debt instruments are increasingly linked to a company’s overall performance and corporate governance,</w:t>
      </w:r>
      <w:r w:rsidRPr="00637861">
        <w:rPr>
          <w:rStyle w:val="Odwoanieprzypisudolnego"/>
          <w:rFonts w:ascii="Times New Roman" w:hAnsi="Times New Roman" w:cs="Times New Roman"/>
          <w:color w:val="000000" w:themeColor="text1"/>
        </w:rPr>
        <w:footnoteReference w:id="17"/>
      </w:r>
      <w:r w:rsidRPr="00637861">
        <w:rPr>
          <w:rFonts w:ascii="Times New Roman" w:hAnsi="Times New Roman" w:cs="Times New Roman"/>
          <w:color w:val="000000" w:themeColor="text1"/>
        </w:rPr>
        <w:t xml:space="preserve"> such financing trends have a bearing on broader industrial relations, even where they appear </w:t>
      </w:r>
      <w:r w:rsidR="0081038F">
        <w:rPr>
          <w:rFonts w:ascii="Times New Roman" w:hAnsi="Times New Roman" w:cs="Times New Roman"/>
          <w:color w:val="000000" w:themeColor="text1"/>
        </w:rPr>
        <w:t xml:space="preserve">to be </w:t>
      </w:r>
      <w:r w:rsidRPr="00637861">
        <w:rPr>
          <w:rFonts w:ascii="Times New Roman" w:hAnsi="Times New Roman" w:cs="Times New Roman"/>
          <w:color w:val="000000" w:themeColor="text1"/>
        </w:rPr>
        <w:t xml:space="preserve">concerned </w:t>
      </w:r>
      <w:r w:rsidR="0081038F" w:rsidRPr="00637861">
        <w:rPr>
          <w:rFonts w:ascii="Times New Roman" w:hAnsi="Times New Roman" w:cs="Times New Roman"/>
          <w:color w:val="000000" w:themeColor="text1"/>
        </w:rPr>
        <w:t xml:space="preserve">only </w:t>
      </w:r>
      <w:r w:rsidRPr="00637861">
        <w:rPr>
          <w:rFonts w:ascii="Times New Roman" w:hAnsi="Times New Roman" w:cs="Times New Roman"/>
          <w:color w:val="000000" w:themeColor="text1"/>
        </w:rPr>
        <w:t xml:space="preserve">with environmental matters. </w:t>
      </w:r>
      <w:r w:rsidR="0085258F">
        <w:rPr>
          <w:rFonts w:ascii="Times New Roman" w:hAnsi="Times New Roman" w:cs="Times New Roman"/>
          <w:color w:val="000000" w:themeColor="text1"/>
        </w:rPr>
        <w:t xml:space="preserve">For example, </w:t>
      </w:r>
      <w:r w:rsidR="00735451">
        <w:rPr>
          <w:rFonts w:ascii="Times New Roman" w:hAnsi="Times New Roman" w:cs="Times New Roman"/>
          <w:color w:val="000000" w:themeColor="text1"/>
        </w:rPr>
        <w:t xml:space="preserve">assessments of environmental impact that the company needs to put in place often </w:t>
      </w:r>
      <w:r w:rsidR="00AE71A6">
        <w:rPr>
          <w:rFonts w:ascii="Times New Roman" w:hAnsi="Times New Roman" w:cs="Times New Roman"/>
          <w:color w:val="000000" w:themeColor="text1"/>
        </w:rPr>
        <w:t>involve new forms of engagement with company’s stakeholders, including own workers and local communities.</w:t>
      </w:r>
    </w:p>
    <w:p w14:paraId="3B3C328F" w14:textId="563B948B"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This article proceeds as follows. Section 2 outlines the emergence and main features of sustainable debt instruments</w:t>
      </w:r>
      <w:r w:rsidR="00AA6A76">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focu</w:t>
      </w:r>
      <w:r w:rsidR="00AA6A76">
        <w:rPr>
          <w:rFonts w:ascii="Times New Roman" w:hAnsi="Times New Roman" w:cs="Times New Roman"/>
          <w:color w:val="000000" w:themeColor="text1"/>
        </w:rPr>
        <w:t>s</w:t>
      </w:r>
      <w:r w:rsidRPr="00637861">
        <w:rPr>
          <w:rFonts w:ascii="Times New Roman" w:hAnsi="Times New Roman" w:cs="Times New Roman"/>
          <w:color w:val="000000" w:themeColor="text1"/>
        </w:rPr>
        <w:t xml:space="preserve">sing on the European Union (EU), where the trend has been particularly pronounced. Section 3 develops the methodological approach to investigating the co-constitutive dynamics between law and sustainable finance, one that looks beyond the formal terms of financial instruments and expands the analytical </w:t>
      </w:r>
      <w:r w:rsidR="00AA6A76">
        <w:rPr>
          <w:rFonts w:ascii="Times New Roman" w:hAnsi="Times New Roman" w:cs="Times New Roman"/>
          <w:color w:val="000000" w:themeColor="text1"/>
        </w:rPr>
        <w:t>scope</w:t>
      </w:r>
      <w:r w:rsidR="00AA6A76"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to capture the legal environments of </w:t>
      </w:r>
      <w:r w:rsidR="00AA6A76">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preceding negotiations and the modes of market and </w:t>
      </w:r>
      <w:r w:rsidR="0007473B" w:rsidRPr="00637861">
        <w:rPr>
          <w:rFonts w:ascii="Times New Roman" w:hAnsi="Times New Roman" w:cs="Times New Roman"/>
          <w:color w:val="000000" w:themeColor="text1"/>
        </w:rPr>
        <w:t>public</w:t>
      </w:r>
      <w:r w:rsidRPr="00637861">
        <w:rPr>
          <w:rFonts w:ascii="Times New Roman" w:hAnsi="Times New Roman" w:cs="Times New Roman"/>
          <w:color w:val="000000" w:themeColor="text1"/>
        </w:rPr>
        <w:t xml:space="preserve"> enforcement </w:t>
      </w:r>
      <w:r w:rsidR="00AA6A76">
        <w:rPr>
          <w:rFonts w:ascii="Times New Roman" w:hAnsi="Times New Roman" w:cs="Times New Roman"/>
          <w:color w:val="000000" w:themeColor="text1"/>
        </w:rPr>
        <w:t>once</w:t>
      </w:r>
      <w:r w:rsidR="00AA6A76"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the debt </w:t>
      </w:r>
      <w:r w:rsidR="00AA6A76">
        <w:rPr>
          <w:rFonts w:ascii="Times New Roman" w:hAnsi="Times New Roman" w:cs="Times New Roman"/>
          <w:color w:val="000000" w:themeColor="text1"/>
        </w:rPr>
        <w:t xml:space="preserve">is </w:t>
      </w:r>
      <w:r w:rsidRPr="00637861">
        <w:rPr>
          <w:rFonts w:ascii="Times New Roman" w:hAnsi="Times New Roman" w:cs="Times New Roman"/>
          <w:color w:val="000000" w:themeColor="text1"/>
        </w:rPr>
        <w:t>issued. Section 4 analyses the empirical findings in relation to how the different aspects of the legal environment interact with green debt across its lifecycle. Before concluding, Section 5 discusses the identified dynamics of differentiation and expansion in micro-level interactions and the meso-level structures as key insights into the potential co-constitution of law and (sustainable) finance.</w:t>
      </w:r>
      <w:r w:rsidR="00473F30">
        <w:rPr>
          <w:rFonts w:ascii="Times New Roman" w:hAnsi="Times New Roman" w:cs="Times New Roman"/>
          <w:color w:val="000000" w:themeColor="text1"/>
        </w:rPr>
        <w:t xml:space="preserve"> I show how </w:t>
      </w:r>
      <w:r w:rsidR="00473F30" w:rsidRPr="00473F30">
        <w:rPr>
          <w:rFonts w:ascii="Times New Roman" w:hAnsi="Times New Roman" w:cs="Times New Roman"/>
          <w:color w:val="000000" w:themeColor="text1"/>
        </w:rPr>
        <w:t>law plays a co-constitutive role in sustainable finance by both enabling and constraining its transformative potential, as legal frameworks, negotiation practices, and macro-financial regimes shape how sustainability objectives are integrated into financial instruments like green bonds.</w:t>
      </w:r>
    </w:p>
    <w:p w14:paraId="593AA807" w14:textId="77777777" w:rsidR="008B50D1" w:rsidRPr="00637861" w:rsidRDefault="008B50D1" w:rsidP="00A05A67">
      <w:pPr>
        <w:spacing w:after="120" w:line="360" w:lineRule="auto"/>
        <w:jc w:val="both"/>
        <w:rPr>
          <w:rFonts w:ascii="Times New Roman" w:hAnsi="Times New Roman" w:cs="Times New Roman"/>
          <w:color w:val="000000" w:themeColor="text1"/>
        </w:rPr>
      </w:pPr>
    </w:p>
    <w:p w14:paraId="1C5E8752" w14:textId="09C3C1B5" w:rsidR="008B50D1" w:rsidRPr="00637861" w:rsidRDefault="008B50D1" w:rsidP="00A05A67">
      <w:pPr>
        <w:pStyle w:val="Nagwek1"/>
        <w:numPr>
          <w:ilvl w:val="0"/>
          <w:numId w:val="11"/>
        </w:numPr>
        <w:spacing w:before="0" w:after="120" w:line="360" w:lineRule="auto"/>
        <w:jc w:val="both"/>
        <w:rPr>
          <w:rFonts w:ascii="Times New Roman" w:hAnsi="Times New Roman" w:cs="Times New Roman"/>
          <w:b/>
          <w:bCs/>
          <w:color w:val="000000" w:themeColor="text1"/>
          <w:sz w:val="24"/>
          <w:szCs w:val="24"/>
        </w:rPr>
      </w:pPr>
      <w:bookmarkStart w:id="1" w:name="_Toc170377179"/>
      <w:r w:rsidRPr="00637861">
        <w:rPr>
          <w:rFonts w:ascii="Times New Roman" w:hAnsi="Times New Roman" w:cs="Times New Roman"/>
          <w:b/>
          <w:bCs/>
          <w:color w:val="000000" w:themeColor="text1"/>
          <w:sz w:val="24"/>
          <w:szCs w:val="24"/>
        </w:rPr>
        <w:t xml:space="preserve">The expanding universe of sustainable debt </w:t>
      </w:r>
    </w:p>
    <w:p w14:paraId="31FAC6D1" w14:textId="740610A9"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Sustainable-themed debt instruments are financial products </w:t>
      </w:r>
      <w:r w:rsidR="00AA6A76">
        <w:rPr>
          <w:rFonts w:ascii="Times New Roman" w:hAnsi="Times New Roman" w:cs="Times New Roman"/>
          <w:color w:val="000000" w:themeColor="text1"/>
        </w:rPr>
        <w:t>whose</w:t>
      </w:r>
      <w:r w:rsidR="00AA6A76"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terms have been linked to sustainability factors, such as environmental or social performance. The universe of sustainable finance instruments spans bonds, which may involve raising </w:t>
      </w:r>
      <w:r w:rsidRPr="00637861">
        <w:rPr>
          <w:rFonts w:ascii="Times New Roman" w:hAnsi="Times New Roman" w:cs="Times New Roman"/>
          <w:color w:val="000000" w:themeColor="text1"/>
        </w:rPr>
        <w:lastRenderedPageBreak/>
        <w:t xml:space="preserve">funds on capital markets, and loans, typically extended by individual banks or through syndication involving several credit institutions. In addition to financing related to climate change (e.g. financing renewable energy or </w:t>
      </w:r>
      <w:r w:rsidR="00AA6A76" w:rsidRPr="00637861">
        <w:rPr>
          <w:rFonts w:ascii="Times New Roman" w:hAnsi="Times New Roman" w:cs="Times New Roman"/>
          <w:color w:val="000000" w:themeColor="text1"/>
        </w:rPr>
        <w:t>invest</w:t>
      </w:r>
      <w:r w:rsidR="00AA6A76">
        <w:rPr>
          <w:rFonts w:ascii="Times New Roman" w:hAnsi="Times New Roman" w:cs="Times New Roman"/>
          <w:color w:val="000000" w:themeColor="text1"/>
        </w:rPr>
        <w:t>ing in</w:t>
      </w:r>
      <w:r w:rsidR="00AA6A76"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energy efficiency), borrowers may be seeking funds for specific environmental purposes (e.g. ‘blue bonds’ dedicated to projects linked to ocean preservation). Social</w:t>
      </w:r>
      <w:r w:rsidR="00AA6A76">
        <w:rPr>
          <w:rFonts w:ascii="Times New Roman" w:hAnsi="Times New Roman" w:cs="Times New Roman"/>
          <w:color w:val="000000" w:themeColor="text1"/>
        </w:rPr>
        <w:t xml:space="preserve"> –</w:t>
      </w:r>
      <w:r w:rsidR="00AA6A76"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and especially labour-related</w:t>
      </w:r>
      <w:r w:rsidR="00AA6A76">
        <w:rPr>
          <w:rFonts w:ascii="Times New Roman" w:hAnsi="Times New Roman" w:cs="Times New Roman"/>
          <w:color w:val="000000" w:themeColor="text1"/>
        </w:rPr>
        <w:t xml:space="preserve"> –</w:t>
      </w:r>
      <w:r w:rsidR="00AA6A76"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issuances have </w:t>
      </w:r>
      <w:r w:rsidR="00AA6A76">
        <w:rPr>
          <w:rFonts w:ascii="Times New Roman" w:hAnsi="Times New Roman" w:cs="Times New Roman"/>
          <w:color w:val="000000" w:themeColor="text1"/>
        </w:rPr>
        <w:t>b</w:t>
      </w:r>
      <w:r w:rsidR="00AA6A76" w:rsidRPr="00637861">
        <w:rPr>
          <w:rFonts w:ascii="Times New Roman" w:hAnsi="Times New Roman" w:cs="Times New Roman"/>
          <w:color w:val="000000" w:themeColor="text1"/>
        </w:rPr>
        <w:t xml:space="preserve">een </w:t>
      </w:r>
      <w:r w:rsidRPr="00637861">
        <w:rPr>
          <w:rFonts w:ascii="Times New Roman" w:hAnsi="Times New Roman" w:cs="Times New Roman"/>
          <w:color w:val="000000" w:themeColor="text1"/>
        </w:rPr>
        <w:t>less popular among corporate issuers, with government actors remaining the key borrowers in this segment</w:t>
      </w:r>
      <w:r w:rsidR="00AA6A76">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in contrast to green and sustainability-linked financial products.</w:t>
      </w:r>
      <w:r w:rsidRPr="00637861">
        <w:rPr>
          <w:rStyle w:val="Odwoanieprzypisudolnego"/>
          <w:rFonts w:ascii="Times New Roman" w:hAnsi="Times New Roman" w:cs="Times New Roman"/>
          <w:color w:val="000000" w:themeColor="text1"/>
        </w:rPr>
        <w:footnoteReference w:id="18"/>
      </w:r>
      <w:r w:rsidRPr="00637861">
        <w:rPr>
          <w:rFonts w:ascii="Times New Roman" w:hAnsi="Times New Roman" w:cs="Times New Roman"/>
          <w:color w:val="000000" w:themeColor="text1"/>
        </w:rPr>
        <w:t xml:space="preserve"> However, corporate sustainable finance instruments often include social objectives, either directly as </w:t>
      </w:r>
      <w:r w:rsidR="00AA6A76">
        <w:rPr>
          <w:rFonts w:ascii="Times New Roman" w:hAnsi="Times New Roman" w:cs="Times New Roman"/>
          <w:color w:val="000000" w:themeColor="text1"/>
        </w:rPr>
        <w:t>a</w:t>
      </w:r>
      <w:r w:rsidRPr="00637861">
        <w:rPr>
          <w:rFonts w:ascii="Times New Roman" w:hAnsi="Times New Roman" w:cs="Times New Roman"/>
          <w:color w:val="000000" w:themeColor="text1"/>
        </w:rPr>
        <w:t xml:space="preserve"> </w:t>
      </w:r>
      <w:r w:rsidR="00AA6A76">
        <w:rPr>
          <w:rFonts w:ascii="Times New Roman" w:hAnsi="Times New Roman" w:cs="Times New Roman"/>
          <w:color w:val="000000" w:themeColor="text1"/>
        </w:rPr>
        <w:t>k</w:t>
      </w:r>
      <w:r w:rsidR="00AA6A76" w:rsidRPr="00637861">
        <w:rPr>
          <w:rFonts w:ascii="Times New Roman" w:hAnsi="Times New Roman" w:cs="Times New Roman"/>
          <w:color w:val="000000" w:themeColor="text1"/>
        </w:rPr>
        <w:t xml:space="preserve">ey </w:t>
      </w:r>
      <w:r w:rsidR="00AA6A76">
        <w:rPr>
          <w:rFonts w:ascii="Times New Roman" w:hAnsi="Times New Roman" w:cs="Times New Roman"/>
          <w:color w:val="000000" w:themeColor="text1"/>
        </w:rPr>
        <w:t>p</w:t>
      </w:r>
      <w:r w:rsidR="00AA6A76" w:rsidRPr="00637861">
        <w:rPr>
          <w:rFonts w:ascii="Times New Roman" w:hAnsi="Times New Roman" w:cs="Times New Roman"/>
          <w:color w:val="000000" w:themeColor="text1"/>
        </w:rPr>
        <w:t xml:space="preserve">erformance </w:t>
      </w:r>
      <w:r w:rsidR="00AA6A76">
        <w:rPr>
          <w:rFonts w:ascii="Times New Roman" w:hAnsi="Times New Roman" w:cs="Times New Roman"/>
          <w:color w:val="000000" w:themeColor="text1"/>
        </w:rPr>
        <w:t>i</w:t>
      </w:r>
      <w:r w:rsidR="00AA6A76" w:rsidRPr="00637861">
        <w:rPr>
          <w:rFonts w:ascii="Times New Roman" w:hAnsi="Times New Roman" w:cs="Times New Roman"/>
          <w:color w:val="000000" w:themeColor="text1"/>
        </w:rPr>
        <w:t xml:space="preserve">ndicator </w:t>
      </w:r>
      <w:r w:rsidRPr="00637861">
        <w:rPr>
          <w:rFonts w:ascii="Times New Roman" w:hAnsi="Times New Roman" w:cs="Times New Roman"/>
          <w:color w:val="000000" w:themeColor="text1"/>
        </w:rPr>
        <w:t>(KPI) or dedicated use of proceeds</w:t>
      </w:r>
      <w:r w:rsidR="0007473B" w:rsidRPr="00637861">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or indirectly, for example</w:t>
      </w:r>
      <w:r w:rsidR="00AA6A76">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where the satisfaction of </w:t>
      </w:r>
      <w:r w:rsidR="00AA6A76" w:rsidRPr="00637861">
        <w:rPr>
          <w:rFonts w:ascii="Times New Roman" w:hAnsi="Times New Roman" w:cs="Times New Roman"/>
          <w:color w:val="000000" w:themeColor="text1"/>
        </w:rPr>
        <w:t>green</w:t>
      </w:r>
      <w:r w:rsidR="00AA6A76">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related objectives involves meeting minimum requirements regarding labour standards or </w:t>
      </w:r>
      <w:r w:rsidR="0004729A">
        <w:rPr>
          <w:rFonts w:ascii="Times New Roman" w:hAnsi="Times New Roman" w:cs="Times New Roman"/>
          <w:color w:val="000000" w:themeColor="text1"/>
        </w:rPr>
        <w:t>taking into account the S</w:t>
      </w:r>
      <w:r w:rsidR="0004729A" w:rsidRPr="00637861">
        <w:rPr>
          <w:rFonts w:ascii="Times New Roman" w:hAnsi="Times New Roman" w:cs="Times New Roman"/>
          <w:color w:val="000000" w:themeColor="text1"/>
        </w:rPr>
        <w:t xml:space="preserve">ustainable </w:t>
      </w:r>
      <w:r w:rsidRPr="00637861">
        <w:rPr>
          <w:rFonts w:ascii="Times New Roman" w:hAnsi="Times New Roman" w:cs="Times New Roman"/>
          <w:color w:val="000000" w:themeColor="text1"/>
        </w:rPr>
        <w:t>Development Goals (SDGs).</w:t>
      </w:r>
      <w:r w:rsidRPr="00637861">
        <w:rPr>
          <w:rStyle w:val="Odwoanieprzypisudolnego"/>
          <w:rFonts w:ascii="Times New Roman" w:hAnsi="Times New Roman" w:cs="Times New Roman"/>
          <w:color w:val="000000" w:themeColor="text1"/>
        </w:rPr>
        <w:footnoteReference w:id="19"/>
      </w:r>
      <w:r w:rsidRPr="00637861">
        <w:rPr>
          <w:rFonts w:ascii="Times New Roman" w:hAnsi="Times New Roman" w:cs="Times New Roman"/>
          <w:color w:val="000000" w:themeColor="text1"/>
        </w:rPr>
        <w:t xml:space="preserve"> All sustainable finance instruments, however, are inherently linked to the overall strategy of the firm, </w:t>
      </w:r>
      <w:r w:rsidR="0004729A">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time horizon of operations and </w:t>
      </w:r>
      <w:r w:rsidR="0004729A">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relationship with stakeholders, and therefore have a bearing on industrial relations even when the substantive scope of the financial instrument may be limited to environmental concerns.  </w:t>
      </w:r>
    </w:p>
    <w:p w14:paraId="6F2A80C0" w14:textId="6CAE7680"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From a market perspective, sustainable-labelled debt instruments are differentiated from traditional financing instruments by the fact that they are linked to specific sustainability objectives. As summarised in Table 1, two </w:t>
      </w:r>
      <w:r w:rsidR="0004729A">
        <w:rPr>
          <w:rFonts w:ascii="Times New Roman" w:hAnsi="Times New Roman" w:cs="Times New Roman"/>
          <w:color w:val="000000" w:themeColor="text1"/>
        </w:rPr>
        <w:t>ways of</w:t>
      </w:r>
      <w:r w:rsidRPr="00637861">
        <w:rPr>
          <w:rFonts w:ascii="Times New Roman" w:hAnsi="Times New Roman" w:cs="Times New Roman"/>
          <w:color w:val="000000" w:themeColor="text1"/>
        </w:rPr>
        <w:t xml:space="preserve"> linking</w:t>
      </w:r>
      <w:r w:rsidR="0004729A">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financing with sustainability goals are distinguished: ‘use of proceeds’ terms, where firms commit to using the </w:t>
      </w:r>
      <w:r w:rsidR="0004729A">
        <w:rPr>
          <w:rFonts w:ascii="Times New Roman" w:hAnsi="Times New Roman" w:cs="Times New Roman"/>
          <w:color w:val="000000" w:themeColor="text1"/>
        </w:rPr>
        <w:t xml:space="preserve">funds </w:t>
      </w:r>
      <w:r w:rsidRPr="00637861">
        <w:rPr>
          <w:rFonts w:ascii="Times New Roman" w:hAnsi="Times New Roman" w:cs="Times New Roman"/>
          <w:color w:val="000000" w:themeColor="text1"/>
        </w:rPr>
        <w:t xml:space="preserve">raised to implement specific projects selected in accordance with pre-defined objectives (e.g. related to climate change mitigation, such as renewable energy production, or social issues, such as housing availability), and ‘sustainability-linked’ terms, where the conditions of repayment are linked to the firm meeting specific KPIs </w:t>
      </w:r>
      <w:r w:rsidR="0004729A">
        <w:rPr>
          <w:rFonts w:ascii="Times New Roman" w:hAnsi="Times New Roman" w:cs="Times New Roman"/>
          <w:color w:val="000000" w:themeColor="text1"/>
        </w:rPr>
        <w:t>on</w:t>
      </w:r>
      <w:r w:rsidRPr="00637861">
        <w:rPr>
          <w:rFonts w:ascii="Times New Roman" w:hAnsi="Times New Roman" w:cs="Times New Roman"/>
          <w:color w:val="000000" w:themeColor="text1"/>
        </w:rPr>
        <w:t xml:space="preserve"> sustainability factors (e.g. related to environmental performance, such as reducin</w:t>
      </w:r>
      <w:r w:rsidR="0004729A">
        <w:rPr>
          <w:rFonts w:ascii="Times New Roman" w:hAnsi="Times New Roman" w:cs="Times New Roman"/>
          <w:color w:val="000000" w:themeColor="text1"/>
        </w:rPr>
        <w:t>g</w:t>
      </w:r>
      <w:r w:rsidRPr="00637861">
        <w:rPr>
          <w:rFonts w:ascii="Times New Roman" w:hAnsi="Times New Roman" w:cs="Times New Roman"/>
          <w:color w:val="000000" w:themeColor="text1"/>
        </w:rPr>
        <w:t xml:space="preserve"> overall greenhouse gas emissions, or social goals, such as gender parity on boards). </w:t>
      </w:r>
    </w:p>
    <w:p w14:paraId="538BD9D2" w14:textId="77777777" w:rsidR="008B50D1" w:rsidRPr="00637861" w:rsidRDefault="008B50D1" w:rsidP="00A05A67">
      <w:pPr>
        <w:spacing w:after="120" w:line="360" w:lineRule="auto"/>
        <w:jc w:val="both"/>
        <w:rPr>
          <w:rFonts w:ascii="Times New Roman" w:hAnsi="Times New Roman" w:cs="Times New Roman"/>
          <w:color w:val="000000" w:themeColor="text1"/>
        </w:rPr>
      </w:pPr>
    </w:p>
    <w:tbl>
      <w:tblPr>
        <w:tblStyle w:val="Tabela-Siatka"/>
        <w:tblW w:w="0" w:type="auto"/>
        <w:tblLook w:val="04A0" w:firstRow="1" w:lastRow="0" w:firstColumn="1" w:lastColumn="0" w:noHBand="0" w:noVBand="1"/>
      </w:tblPr>
      <w:tblGrid>
        <w:gridCol w:w="948"/>
        <w:gridCol w:w="1213"/>
        <w:gridCol w:w="1035"/>
        <w:gridCol w:w="798"/>
        <w:gridCol w:w="1261"/>
        <w:gridCol w:w="1686"/>
        <w:gridCol w:w="1129"/>
      </w:tblGrid>
      <w:tr w:rsidR="008B50D1" w:rsidRPr="00637861" w14:paraId="6DB570C0" w14:textId="77777777" w:rsidTr="00F9622D">
        <w:trPr>
          <w:trHeight w:val="212"/>
        </w:trPr>
        <w:tc>
          <w:tcPr>
            <w:tcW w:w="0" w:type="auto"/>
          </w:tcPr>
          <w:p w14:paraId="492BE85E"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Debt instrument</w:t>
            </w:r>
          </w:p>
        </w:tc>
        <w:tc>
          <w:tcPr>
            <w:tcW w:w="0" w:type="auto"/>
          </w:tcPr>
          <w:p w14:paraId="347E28DA"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Type of thematic debt</w:t>
            </w:r>
          </w:p>
        </w:tc>
        <w:tc>
          <w:tcPr>
            <w:tcW w:w="0" w:type="auto"/>
          </w:tcPr>
          <w:p w14:paraId="66F210B4"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Financing mechanism</w:t>
            </w:r>
          </w:p>
        </w:tc>
        <w:tc>
          <w:tcPr>
            <w:tcW w:w="0" w:type="auto"/>
          </w:tcPr>
          <w:p w14:paraId="6F77BD9A"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Purpose</w:t>
            </w:r>
          </w:p>
        </w:tc>
        <w:tc>
          <w:tcPr>
            <w:tcW w:w="0" w:type="auto"/>
          </w:tcPr>
          <w:p w14:paraId="5FB1B295"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Dominant sustainability mechanism</w:t>
            </w:r>
          </w:p>
        </w:tc>
        <w:tc>
          <w:tcPr>
            <w:tcW w:w="1686" w:type="dxa"/>
          </w:tcPr>
          <w:p w14:paraId="3F1CDEB6"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Applicable transnational standards</w:t>
            </w:r>
          </w:p>
        </w:tc>
        <w:tc>
          <w:tcPr>
            <w:tcW w:w="1129" w:type="dxa"/>
          </w:tcPr>
          <w:p w14:paraId="5198CB20"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Transparency</w:t>
            </w:r>
          </w:p>
        </w:tc>
      </w:tr>
      <w:tr w:rsidR="008B50D1" w:rsidRPr="00637861" w14:paraId="6BC5921B" w14:textId="77777777" w:rsidTr="00F9622D">
        <w:trPr>
          <w:trHeight w:val="212"/>
        </w:trPr>
        <w:tc>
          <w:tcPr>
            <w:tcW w:w="0" w:type="auto"/>
            <w:vMerge w:val="restart"/>
          </w:tcPr>
          <w:p w14:paraId="64B365B1" w14:textId="5B4918E9" w:rsidR="008B50D1" w:rsidRPr="00637861" w:rsidRDefault="0004729A" w:rsidP="009F215F">
            <w:pPr>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B</w:t>
            </w:r>
            <w:r w:rsidRPr="00637861">
              <w:rPr>
                <w:rFonts w:ascii="Times New Roman" w:hAnsi="Times New Roman" w:cs="Times New Roman"/>
                <w:color w:val="000000" w:themeColor="text1"/>
                <w:sz w:val="16"/>
                <w:szCs w:val="16"/>
              </w:rPr>
              <w:t>ond</w:t>
            </w:r>
          </w:p>
        </w:tc>
        <w:tc>
          <w:tcPr>
            <w:tcW w:w="0" w:type="auto"/>
          </w:tcPr>
          <w:p w14:paraId="51511F60"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Sustainable or green</w:t>
            </w:r>
          </w:p>
        </w:tc>
        <w:tc>
          <w:tcPr>
            <w:tcW w:w="0" w:type="auto"/>
            <w:vMerge w:val="restart"/>
          </w:tcPr>
          <w:p w14:paraId="302D8B2E"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 xml:space="preserve">Capital market </w:t>
            </w:r>
          </w:p>
        </w:tc>
        <w:tc>
          <w:tcPr>
            <w:tcW w:w="0" w:type="auto"/>
          </w:tcPr>
          <w:p w14:paraId="5E412D5D" w14:textId="1E4D9463"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Project</w:t>
            </w:r>
            <w:r w:rsidR="0004729A">
              <w:rPr>
                <w:rFonts w:ascii="Times New Roman" w:hAnsi="Times New Roman" w:cs="Times New Roman"/>
                <w:color w:val="000000" w:themeColor="text1"/>
                <w:sz w:val="16"/>
                <w:szCs w:val="16"/>
              </w:rPr>
              <w:t xml:space="preserve"> </w:t>
            </w:r>
            <w:r w:rsidRPr="00637861">
              <w:rPr>
                <w:rFonts w:ascii="Times New Roman" w:hAnsi="Times New Roman" w:cs="Times New Roman"/>
                <w:color w:val="000000" w:themeColor="text1"/>
                <w:sz w:val="16"/>
                <w:szCs w:val="16"/>
              </w:rPr>
              <w:t>finance</w:t>
            </w:r>
          </w:p>
        </w:tc>
        <w:tc>
          <w:tcPr>
            <w:tcW w:w="0" w:type="auto"/>
          </w:tcPr>
          <w:p w14:paraId="057637D5"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Ex ante</w:t>
            </w:r>
          </w:p>
        </w:tc>
        <w:tc>
          <w:tcPr>
            <w:tcW w:w="1686" w:type="dxa"/>
          </w:tcPr>
          <w:p w14:paraId="2348A133"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ICMA Sustainable Bond Guidelines, Green Bond Principles, CBI</w:t>
            </w:r>
          </w:p>
        </w:tc>
        <w:tc>
          <w:tcPr>
            <w:tcW w:w="1129" w:type="dxa"/>
            <w:vMerge w:val="restart"/>
          </w:tcPr>
          <w:p w14:paraId="345CEB8F"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Rules on prospectus disclosure</w:t>
            </w:r>
          </w:p>
        </w:tc>
      </w:tr>
      <w:tr w:rsidR="008B50D1" w:rsidRPr="00637861" w14:paraId="28255944" w14:textId="77777777" w:rsidTr="00F9622D">
        <w:trPr>
          <w:trHeight w:val="154"/>
        </w:trPr>
        <w:tc>
          <w:tcPr>
            <w:tcW w:w="0" w:type="auto"/>
            <w:vMerge/>
          </w:tcPr>
          <w:p w14:paraId="158308C0" w14:textId="77777777" w:rsidR="008B50D1" w:rsidRPr="00637861" w:rsidRDefault="008B50D1" w:rsidP="009F215F">
            <w:pPr>
              <w:jc w:val="both"/>
              <w:rPr>
                <w:rFonts w:ascii="Times New Roman" w:hAnsi="Times New Roman" w:cs="Times New Roman"/>
                <w:color w:val="000000" w:themeColor="text1"/>
                <w:sz w:val="16"/>
                <w:szCs w:val="16"/>
              </w:rPr>
            </w:pPr>
          </w:p>
        </w:tc>
        <w:tc>
          <w:tcPr>
            <w:tcW w:w="0" w:type="auto"/>
          </w:tcPr>
          <w:p w14:paraId="5EF379A7"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Sustainability-linked</w:t>
            </w:r>
          </w:p>
        </w:tc>
        <w:tc>
          <w:tcPr>
            <w:tcW w:w="0" w:type="auto"/>
            <w:vMerge/>
          </w:tcPr>
          <w:p w14:paraId="3D8ED595" w14:textId="77777777" w:rsidR="008B50D1" w:rsidRPr="00637861" w:rsidRDefault="008B50D1" w:rsidP="009F215F">
            <w:pPr>
              <w:jc w:val="both"/>
              <w:rPr>
                <w:rFonts w:ascii="Times New Roman" w:hAnsi="Times New Roman" w:cs="Times New Roman"/>
                <w:color w:val="000000" w:themeColor="text1"/>
                <w:sz w:val="16"/>
                <w:szCs w:val="16"/>
              </w:rPr>
            </w:pPr>
          </w:p>
        </w:tc>
        <w:tc>
          <w:tcPr>
            <w:tcW w:w="0" w:type="auto"/>
          </w:tcPr>
          <w:p w14:paraId="2BA48DC5"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General finance</w:t>
            </w:r>
          </w:p>
        </w:tc>
        <w:tc>
          <w:tcPr>
            <w:tcW w:w="0" w:type="auto"/>
          </w:tcPr>
          <w:p w14:paraId="62DF93D5"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 xml:space="preserve">Ex post </w:t>
            </w:r>
          </w:p>
        </w:tc>
        <w:tc>
          <w:tcPr>
            <w:tcW w:w="1686" w:type="dxa"/>
          </w:tcPr>
          <w:p w14:paraId="36374758" w14:textId="3A9932A4"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 xml:space="preserve">ICMA </w:t>
            </w:r>
            <w:r w:rsidR="0004729A">
              <w:rPr>
                <w:rFonts w:ascii="Times New Roman" w:hAnsi="Times New Roman" w:cs="Times New Roman"/>
                <w:color w:val="000000" w:themeColor="text1"/>
                <w:sz w:val="16"/>
                <w:szCs w:val="16"/>
              </w:rPr>
              <w:t>S</w:t>
            </w:r>
            <w:r w:rsidR="0004729A" w:rsidRPr="00637861">
              <w:rPr>
                <w:rFonts w:ascii="Times New Roman" w:hAnsi="Times New Roman" w:cs="Times New Roman"/>
                <w:color w:val="000000" w:themeColor="text1"/>
                <w:sz w:val="16"/>
                <w:szCs w:val="16"/>
              </w:rPr>
              <w:t>ustainability</w:t>
            </w:r>
            <w:r w:rsidRPr="00637861">
              <w:rPr>
                <w:rFonts w:ascii="Times New Roman" w:hAnsi="Times New Roman" w:cs="Times New Roman"/>
                <w:color w:val="000000" w:themeColor="text1"/>
                <w:sz w:val="16"/>
                <w:szCs w:val="16"/>
              </w:rPr>
              <w:t>-</w:t>
            </w:r>
            <w:r w:rsidR="0004729A">
              <w:rPr>
                <w:rFonts w:ascii="Times New Roman" w:hAnsi="Times New Roman" w:cs="Times New Roman"/>
                <w:color w:val="000000" w:themeColor="text1"/>
                <w:sz w:val="16"/>
                <w:szCs w:val="16"/>
              </w:rPr>
              <w:t>L</w:t>
            </w:r>
            <w:r w:rsidR="0004729A" w:rsidRPr="00637861">
              <w:rPr>
                <w:rFonts w:ascii="Times New Roman" w:hAnsi="Times New Roman" w:cs="Times New Roman"/>
                <w:color w:val="000000" w:themeColor="text1"/>
                <w:sz w:val="16"/>
                <w:szCs w:val="16"/>
              </w:rPr>
              <w:t xml:space="preserve">inked </w:t>
            </w:r>
            <w:r w:rsidR="0004729A">
              <w:rPr>
                <w:rFonts w:ascii="Times New Roman" w:hAnsi="Times New Roman" w:cs="Times New Roman"/>
                <w:color w:val="000000" w:themeColor="text1"/>
                <w:sz w:val="16"/>
                <w:szCs w:val="16"/>
              </w:rPr>
              <w:t>B</w:t>
            </w:r>
            <w:r w:rsidR="0004729A" w:rsidRPr="00637861">
              <w:rPr>
                <w:rFonts w:ascii="Times New Roman" w:hAnsi="Times New Roman" w:cs="Times New Roman"/>
                <w:color w:val="000000" w:themeColor="text1"/>
                <w:sz w:val="16"/>
                <w:szCs w:val="16"/>
              </w:rPr>
              <w:t xml:space="preserve">ond </w:t>
            </w:r>
            <w:r w:rsidR="0004729A">
              <w:rPr>
                <w:rFonts w:ascii="Times New Roman" w:hAnsi="Times New Roman" w:cs="Times New Roman"/>
                <w:color w:val="000000" w:themeColor="text1"/>
                <w:sz w:val="16"/>
                <w:szCs w:val="16"/>
              </w:rPr>
              <w:t>P</w:t>
            </w:r>
            <w:r w:rsidR="0004729A" w:rsidRPr="00637861">
              <w:rPr>
                <w:rFonts w:ascii="Times New Roman" w:hAnsi="Times New Roman" w:cs="Times New Roman"/>
                <w:color w:val="000000" w:themeColor="text1"/>
                <w:sz w:val="16"/>
                <w:szCs w:val="16"/>
              </w:rPr>
              <w:t xml:space="preserve">rinciples </w:t>
            </w:r>
          </w:p>
        </w:tc>
        <w:tc>
          <w:tcPr>
            <w:tcW w:w="1129" w:type="dxa"/>
            <w:vMerge/>
          </w:tcPr>
          <w:p w14:paraId="01B8C334" w14:textId="77777777" w:rsidR="008B50D1" w:rsidRPr="00637861" w:rsidRDefault="008B50D1" w:rsidP="009F215F">
            <w:pPr>
              <w:jc w:val="both"/>
              <w:rPr>
                <w:rFonts w:ascii="Times New Roman" w:hAnsi="Times New Roman" w:cs="Times New Roman"/>
                <w:color w:val="000000" w:themeColor="text1"/>
                <w:sz w:val="16"/>
                <w:szCs w:val="16"/>
              </w:rPr>
            </w:pPr>
          </w:p>
        </w:tc>
      </w:tr>
      <w:tr w:rsidR="008B50D1" w:rsidRPr="00637861" w14:paraId="49FBE172" w14:textId="77777777" w:rsidTr="00F9622D">
        <w:trPr>
          <w:trHeight w:val="212"/>
        </w:trPr>
        <w:tc>
          <w:tcPr>
            <w:tcW w:w="0" w:type="auto"/>
            <w:vMerge w:val="restart"/>
          </w:tcPr>
          <w:p w14:paraId="3BDE4219" w14:textId="2238A2F5" w:rsidR="008B50D1" w:rsidRPr="00637861" w:rsidRDefault="0004729A" w:rsidP="009F215F">
            <w:pPr>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L</w:t>
            </w:r>
            <w:r w:rsidRPr="00637861">
              <w:rPr>
                <w:rFonts w:ascii="Times New Roman" w:hAnsi="Times New Roman" w:cs="Times New Roman"/>
                <w:color w:val="000000" w:themeColor="text1"/>
                <w:sz w:val="16"/>
                <w:szCs w:val="16"/>
              </w:rPr>
              <w:t>oan</w:t>
            </w:r>
          </w:p>
        </w:tc>
        <w:tc>
          <w:tcPr>
            <w:tcW w:w="0" w:type="auto"/>
          </w:tcPr>
          <w:p w14:paraId="589A92FF"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Sustainable or green</w:t>
            </w:r>
          </w:p>
        </w:tc>
        <w:tc>
          <w:tcPr>
            <w:tcW w:w="0" w:type="auto"/>
            <w:vMerge w:val="restart"/>
          </w:tcPr>
          <w:p w14:paraId="3D061947"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 xml:space="preserve">Direct financing </w:t>
            </w:r>
          </w:p>
        </w:tc>
        <w:tc>
          <w:tcPr>
            <w:tcW w:w="0" w:type="auto"/>
          </w:tcPr>
          <w:p w14:paraId="2E048E10" w14:textId="71D061A0"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Project</w:t>
            </w:r>
            <w:r w:rsidR="0004729A">
              <w:rPr>
                <w:rFonts w:ascii="Times New Roman" w:hAnsi="Times New Roman" w:cs="Times New Roman"/>
                <w:color w:val="000000" w:themeColor="text1"/>
                <w:sz w:val="16"/>
                <w:szCs w:val="16"/>
              </w:rPr>
              <w:t xml:space="preserve"> </w:t>
            </w:r>
            <w:r w:rsidRPr="00637861">
              <w:rPr>
                <w:rFonts w:ascii="Times New Roman" w:hAnsi="Times New Roman" w:cs="Times New Roman"/>
                <w:color w:val="000000" w:themeColor="text1"/>
                <w:sz w:val="16"/>
                <w:szCs w:val="16"/>
              </w:rPr>
              <w:t>finance</w:t>
            </w:r>
          </w:p>
        </w:tc>
        <w:tc>
          <w:tcPr>
            <w:tcW w:w="0" w:type="auto"/>
            <w:vMerge w:val="restart"/>
          </w:tcPr>
          <w:p w14:paraId="7FCACA69"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Ex ante and ex post</w:t>
            </w:r>
          </w:p>
        </w:tc>
        <w:tc>
          <w:tcPr>
            <w:tcW w:w="1686" w:type="dxa"/>
          </w:tcPr>
          <w:p w14:paraId="21C40CBE"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Green Loan Principles (GLP), Social Loan Principles (SLP)</w:t>
            </w:r>
          </w:p>
        </w:tc>
        <w:tc>
          <w:tcPr>
            <w:tcW w:w="1129" w:type="dxa"/>
            <w:vMerge w:val="restart"/>
          </w:tcPr>
          <w:p w14:paraId="79298C64"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No applicable rules</w:t>
            </w:r>
          </w:p>
        </w:tc>
      </w:tr>
      <w:tr w:rsidR="008B50D1" w:rsidRPr="00637861" w14:paraId="069783E7" w14:textId="77777777" w:rsidTr="00F9622D">
        <w:trPr>
          <w:trHeight w:val="154"/>
        </w:trPr>
        <w:tc>
          <w:tcPr>
            <w:tcW w:w="0" w:type="auto"/>
            <w:vMerge/>
          </w:tcPr>
          <w:p w14:paraId="5F04BBB0" w14:textId="77777777" w:rsidR="008B50D1" w:rsidRPr="00637861" w:rsidRDefault="008B50D1" w:rsidP="009F215F">
            <w:pPr>
              <w:jc w:val="both"/>
              <w:rPr>
                <w:rFonts w:ascii="Times New Roman" w:hAnsi="Times New Roman" w:cs="Times New Roman"/>
                <w:color w:val="000000" w:themeColor="text1"/>
                <w:sz w:val="16"/>
                <w:szCs w:val="16"/>
              </w:rPr>
            </w:pPr>
          </w:p>
        </w:tc>
        <w:tc>
          <w:tcPr>
            <w:tcW w:w="0" w:type="auto"/>
          </w:tcPr>
          <w:p w14:paraId="53A130A5"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Sustainability-linked</w:t>
            </w:r>
          </w:p>
        </w:tc>
        <w:tc>
          <w:tcPr>
            <w:tcW w:w="0" w:type="auto"/>
            <w:vMerge/>
          </w:tcPr>
          <w:p w14:paraId="69D3FE62" w14:textId="77777777" w:rsidR="008B50D1" w:rsidRPr="00637861" w:rsidRDefault="008B50D1" w:rsidP="009F215F">
            <w:pPr>
              <w:jc w:val="both"/>
              <w:rPr>
                <w:rFonts w:ascii="Times New Roman" w:hAnsi="Times New Roman" w:cs="Times New Roman"/>
                <w:color w:val="000000" w:themeColor="text1"/>
                <w:sz w:val="16"/>
                <w:szCs w:val="16"/>
              </w:rPr>
            </w:pPr>
          </w:p>
        </w:tc>
        <w:tc>
          <w:tcPr>
            <w:tcW w:w="0" w:type="auto"/>
          </w:tcPr>
          <w:p w14:paraId="04D2EAA5" w14:textId="77777777"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General finance</w:t>
            </w:r>
          </w:p>
        </w:tc>
        <w:tc>
          <w:tcPr>
            <w:tcW w:w="0" w:type="auto"/>
            <w:vMerge/>
          </w:tcPr>
          <w:p w14:paraId="2A8064C7" w14:textId="77777777" w:rsidR="008B50D1" w:rsidRPr="00637861" w:rsidRDefault="008B50D1" w:rsidP="009F215F">
            <w:pPr>
              <w:jc w:val="both"/>
              <w:rPr>
                <w:rFonts w:ascii="Times New Roman" w:hAnsi="Times New Roman" w:cs="Times New Roman"/>
                <w:color w:val="000000" w:themeColor="text1"/>
                <w:sz w:val="16"/>
                <w:szCs w:val="16"/>
              </w:rPr>
            </w:pPr>
          </w:p>
        </w:tc>
        <w:tc>
          <w:tcPr>
            <w:tcW w:w="1686" w:type="dxa"/>
          </w:tcPr>
          <w:p w14:paraId="1AA6FFE9" w14:textId="5241F745"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LMA/LSTA Sustainability-Linked Loan Principles (SLLP)</w:t>
            </w:r>
          </w:p>
        </w:tc>
        <w:tc>
          <w:tcPr>
            <w:tcW w:w="1129" w:type="dxa"/>
            <w:vMerge/>
          </w:tcPr>
          <w:p w14:paraId="13B44A6A" w14:textId="77777777" w:rsidR="008B50D1" w:rsidRPr="00637861" w:rsidRDefault="008B50D1" w:rsidP="009F215F">
            <w:pPr>
              <w:jc w:val="both"/>
              <w:rPr>
                <w:rFonts w:ascii="Times New Roman" w:hAnsi="Times New Roman" w:cs="Times New Roman"/>
                <w:color w:val="000000" w:themeColor="text1"/>
                <w:sz w:val="16"/>
                <w:szCs w:val="16"/>
              </w:rPr>
            </w:pPr>
          </w:p>
        </w:tc>
      </w:tr>
    </w:tbl>
    <w:p w14:paraId="0DF943C4" w14:textId="623E220C"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Table 1: Universe of </w:t>
      </w:r>
      <w:r w:rsidR="0004729A" w:rsidRPr="00637861">
        <w:rPr>
          <w:rFonts w:ascii="Times New Roman" w:hAnsi="Times New Roman" w:cs="Times New Roman"/>
          <w:color w:val="000000" w:themeColor="text1"/>
        </w:rPr>
        <w:t>sustainability</w:t>
      </w:r>
      <w:r w:rsidR="0004729A">
        <w:rPr>
          <w:rFonts w:ascii="Times New Roman" w:hAnsi="Times New Roman" w:cs="Times New Roman"/>
          <w:color w:val="000000" w:themeColor="text1"/>
        </w:rPr>
        <w:t>-</w:t>
      </w:r>
      <w:r w:rsidRPr="00637861">
        <w:rPr>
          <w:rFonts w:ascii="Times New Roman" w:hAnsi="Times New Roman" w:cs="Times New Roman"/>
          <w:color w:val="000000" w:themeColor="text1"/>
        </w:rPr>
        <w:t>labelled debt instruments</w:t>
      </w:r>
    </w:p>
    <w:p w14:paraId="379F9ED6" w14:textId="77777777" w:rsidR="008B50D1" w:rsidRPr="00637861" w:rsidRDefault="008B50D1" w:rsidP="00A05A67">
      <w:pPr>
        <w:spacing w:after="120" w:line="360" w:lineRule="auto"/>
        <w:jc w:val="both"/>
        <w:rPr>
          <w:rFonts w:ascii="Times New Roman" w:hAnsi="Times New Roman" w:cs="Times New Roman"/>
          <w:color w:val="000000" w:themeColor="text1"/>
        </w:rPr>
      </w:pPr>
    </w:p>
    <w:p w14:paraId="6BCD8C73" w14:textId="634A0822" w:rsidR="00343A64"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Globally, two market standard-setters </w:t>
      </w:r>
      <w:r w:rsidR="00343A64">
        <w:rPr>
          <w:rFonts w:ascii="Times New Roman" w:hAnsi="Times New Roman" w:cs="Times New Roman"/>
          <w:color w:val="000000" w:themeColor="text1"/>
        </w:rPr>
        <w:t xml:space="preserve">have </w:t>
      </w:r>
      <w:r w:rsidRPr="00637861">
        <w:rPr>
          <w:rFonts w:ascii="Times New Roman" w:hAnsi="Times New Roman" w:cs="Times New Roman"/>
          <w:color w:val="000000" w:themeColor="text1"/>
        </w:rPr>
        <w:t>develop</w:t>
      </w:r>
      <w:r w:rsidR="00343A64">
        <w:rPr>
          <w:rFonts w:ascii="Times New Roman" w:hAnsi="Times New Roman" w:cs="Times New Roman"/>
          <w:color w:val="000000" w:themeColor="text1"/>
        </w:rPr>
        <w:t>ed</w:t>
      </w:r>
      <w:r w:rsidRPr="00637861">
        <w:rPr>
          <w:rFonts w:ascii="Times New Roman" w:hAnsi="Times New Roman" w:cs="Times New Roman"/>
          <w:color w:val="000000" w:themeColor="text1"/>
        </w:rPr>
        <w:t xml:space="preserve"> frameworks for sustainable loans and bonds: </w:t>
      </w:r>
      <w:r w:rsidR="00343A64">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Loan Markets Association (LMA) and </w:t>
      </w:r>
      <w:r w:rsidR="00343A64">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International Capital Markets Association (ICMA)</w:t>
      </w:r>
      <w:r w:rsidR="00343A64">
        <w:rPr>
          <w:rFonts w:ascii="Times New Roman" w:hAnsi="Times New Roman" w:cs="Times New Roman"/>
          <w:color w:val="000000" w:themeColor="text1"/>
        </w:rPr>
        <w:t xml:space="preserve">, </w:t>
      </w:r>
      <w:r w:rsidR="00343A64" w:rsidRPr="00637861">
        <w:rPr>
          <w:rFonts w:ascii="Times New Roman" w:hAnsi="Times New Roman" w:cs="Times New Roman"/>
          <w:color w:val="000000" w:themeColor="text1"/>
        </w:rPr>
        <w:t>respectively</w:t>
      </w:r>
      <w:r w:rsidRPr="00637861">
        <w:rPr>
          <w:rFonts w:ascii="Times New Roman" w:hAnsi="Times New Roman" w:cs="Times New Roman"/>
          <w:color w:val="000000" w:themeColor="text1"/>
        </w:rPr>
        <w:t>.</w:t>
      </w:r>
      <w:r w:rsidRPr="00637861">
        <w:rPr>
          <w:rStyle w:val="Odwoanieprzypisudolnego"/>
          <w:rFonts w:ascii="Times New Roman" w:hAnsi="Times New Roman" w:cs="Times New Roman"/>
          <w:color w:val="000000" w:themeColor="text1"/>
        </w:rPr>
        <w:footnoteReference w:id="20"/>
      </w:r>
      <w:r w:rsidRPr="00637861">
        <w:rPr>
          <w:rFonts w:ascii="Times New Roman" w:hAnsi="Times New Roman" w:cs="Times New Roman"/>
          <w:color w:val="000000" w:themeColor="text1"/>
        </w:rPr>
        <w:t xml:space="preserve"> While neither </w:t>
      </w:r>
      <w:r w:rsidR="00343A64">
        <w:rPr>
          <w:rFonts w:ascii="Times New Roman" w:hAnsi="Times New Roman" w:cs="Times New Roman"/>
          <w:color w:val="000000" w:themeColor="text1"/>
        </w:rPr>
        <w:t xml:space="preserve">have </w:t>
      </w:r>
      <w:r w:rsidRPr="00637861">
        <w:rPr>
          <w:rFonts w:ascii="Times New Roman" w:hAnsi="Times New Roman" w:cs="Times New Roman"/>
          <w:color w:val="000000" w:themeColor="text1"/>
        </w:rPr>
        <w:t>introduce</w:t>
      </w:r>
      <w:r w:rsidR="00343A64">
        <w:rPr>
          <w:rFonts w:ascii="Times New Roman" w:hAnsi="Times New Roman" w:cs="Times New Roman"/>
          <w:color w:val="000000" w:themeColor="text1"/>
        </w:rPr>
        <w:t>d</w:t>
      </w:r>
      <w:r w:rsidRPr="00637861">
        <w:rPr>
          <w:rFonts w:ascii="Times New Roman" w:hAnsi="Times New Roman" w:cs="Times New Roman"/>
          <w:color w:val="000000" w:themeColor="text1"/>
        </w:rPr>
        <w:t xml:space="preserve"> a mandatory definition of sustainability</w:t>
      </w:r>
      <w:r w:rsidR="00343A64">
        <w:rPr>
          <w:rFonts w:ascii="Times New Roman" w:hAnsi="Times New Roman" w:cs="Times New Roman"/>
          <w:color w:val="000000" w:themeColor="text1"/>
        </w:rPr>
        <w:t xml:space="preserve"> –</w:t>
      </w:r>
      <w:r w:rsidR="00343A64"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either environmental or social</w:t>
      </w:r>
      <w:r w:rsidR="00343A64">
        <w:rPr>
          <w:rFonts w:ascii="Times New Roman" w:hAnsi="Times New Roman" w:cs="Times New Roman"/>
          <w:color w:val="000000" w:themeColor="text1"/>
        </w:rPr>
        <w:t xml:space="preserve"> –</w:t>
      </w:r>
      <w:r w:rsidR="00343A64"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they do identify specific categories of projects or indicators that delimit sustainability concerns, e.g. related to renewable energy, affordable housing or access to basic infrastructure. </w:t>
      </w:r>
      <w:r w:rsidR="00343A64">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Green Bond Principles were published in 2014,</w:t>
      </w:r>
      <w:r w:rsidRPr="00637861">
        <w:rPr>
          <w:rStyle w:val="Odwoanieprzypisudolnego"/>
          <w:rFonts w:ascii="Times New Roman" w:hAnsi="Times New Roman" w:cs="Times New Roman"/>
          <w:color w:val="000000" w:themeColor="text1"/>
        </w:rPr>
        <w:footnoteReference w:id="21"/>
      </w:r>
      <w:r w:rsidRPr="00637861">
        <w:rPr>
          <w:rFonts w:ascii="Times New Roman" w:hAnsi="Times New Roman" w:cs="Times New Roman"/>
          <w:color w:val="000000" w:themeColor="text1"/>
        </w:rPr>
        <w:t xml:space="preserve"> with Social and Sustainability Bond Principles following in 2018.</w:t>
      </w:r>
      <w:r w:rsidRPr="00637861">
        <w:rPr>
          <w:rStyle w:val="Odwoanieprzypisudolnego"/>
          <w:rFonts w:ascii="Times New Roman" w:hAnsi="Times New Roman" w:cs="Times New Roman"/>
          <w:color w:val="000000" w:themeColor="text1"/>
        </w:rPr>
        <w:footnoteReference w:id="22"/>
      </w:r>
      <w:r w:rsidRPr="00637861">
        <w:rPr>
          <w:rFonts w:ascii="Times New Roman" w:hAnsi="Times New Roman" w:cs="Times New Roman"/>
          <w:color w:val="000000" w:themeColor="text1"/>
        </w:rPr>
        <w:t xml:space="preserve"> </w:t>
      </w:r>
    </w:p>
    <w:p w14:paraId="69EC4741" w14:textId="31742A4D" w:rsidR="00343A64"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For green bonds, the ICMA’s guidance covers the use of proceeds, the process for </w:t>
      </w:r>
      <w:r w:rsidR="00343A64" w:rsidRPr="00637861">
        <w:rPr>
          <w:rFonts w:ascii="Times New Roman" w:hAnsi="Times New Roman" w:cs="Times New Roman"/>
          <w:color w:val="000000" w:themeColor="text1"/>
        </w:rPr>
        <w:t>evaluati</w:t>
      </w:r>
      <w:r w:rsidR="00343A64">
        <w:rPr>
          <w:rFonts w:ascii="Times New Roman" w:hAnsi="Times New Roman" w:cs="Times New Roman"/>
          <w:color w:val="000000" w:themeColor="text1"/>
        </w:rPr>
        <w:t>ng</w:t>
      </w:r>
      <w:r w:rsidR="00343A64" w:rsidRPr="00637861">
        <w:rPr>
          <w:rFonts w:ascii="Times New Roman" w:hAnsi="Times New Roman" w:cs="Times New Roman"/>
          <w:color w:val="000000" w:themeColor="text1"/>
        </w:rPr>
        <w:t xml:space="preserve"> and selecti</w:t>
      </w:r>
      <w:r w:rsidR="00343A64">
        <w:rPr>
          <w:rFonts w:ascii="Times New Roman" w:hAnsi="Times New Roman" w:cs="Times New Roman"/>
          <w:color w:val="000000" w:themeColor="text1"/>
        </w:rPr>
        <w:t xml:space="preserve">ng </w:t>
      </w:r>
      <w:r w:rsidRPr="00637861">
        <w:rPr>
          <w:rFonts w:ascii="Times New Roman" w:hAnsi="Times New Roman" w:cs="Times New Roman"/>
          <w:color w:val="000000" w:themeColor="text1"/>
        </w:rPr>
        <w:t>project</w:t>
      </w:r>
      <w:r w:rsidR="00343A64">
        <w:rPr>
          <w:rFonts w:ascii="Times New Roman" w:hAnsi="Times New Roman" w:cs="Times New Roman"/>
          <w:color w:val="000000" w:themeColor="text1"/>
        </w:rPr>
        <w:t>s</w:t>
      </w:r>
      <w:r w:rsidRPr="00637861">
        <w:rPr>
          <w:rFonts w:ascii="Times New Roman" w:hAnsi="Times New Roman" w:cs="Times New Roman"/>
          <w:color w:val="000000" w:themeColor="text1"/>
        </w:rPr>
        <w:t xml:space="preserve"> </w:t>
      </w:r>
      <w:r w:rsidR="00343A64">
        <w:rPr>
          <w:rFonts w:ascii="Times New Roman" w:hAnsi="Times New Roman" w:cs="Times New Roman"/>
          <w:color w:val="000000" w:themeColor="text1"/>
        </w:rPr>
        <w:t>and</w:t>
      </w:r>
      <w:r w:rsidR="00343A64"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rules </w:t>
      </w:r>
      <w:r w:rsidR="00343A64">
        <w:rPr>
          <w:rFonts w:ascii="Times New Roman" w:hAnsi="Times New Roman" w:cs="Times New Roman"/>
          <w:color w:val="000000" w:themeColor="text1"/>
        </w:rPr>
        <w:t>for</w:t>
      </w:r>
      <w:r w:rsidR="00343A64"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manag</w:t>
      </w:r>
      <w:r w:rsidR="00343A64">
        <w:rPr>
          <w:rFonts w:ascii="Times New Roman" w:hAnsi="Times New Roman" w:cs="Times New Roman"/>
          <w:color w:val="000000" w:themeColor="text1"/>
        </w:rPr>
        <w:t>ing the</w:t>
      </w:r>
      <w:r w:rsidRPr="00637861">
        <w:rPr>
          <w:rFonts w:ascii="Times New Roman" w:hAnsi="Times New Roman" w:cs="Times New Roman"/>
          <w:color w:val="000000" w:themeColor="text1"/>
        </w:rPr>
        <w:t xml:space="preserve"> proceeds and reporting. In addition, </w:t>
      </w:r>
      <w:r w:rsidR="00343A64">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ICMA recommends that a Green Bond Framework (GBF), outlining how the issuer intends to comply with </w:t>
      </w:r>
      <w:r w:rsidR="00343A64">
        <w:rPr>
          <w:rFonts w:ascii="Times New Roman" w:hAnsi="Times New Roman" w:cs="Times New Roman"/>
          <w:color w:val="000000" w:themeColor="text1"/>
        </w:rPr>
        <w:t>their</w:t>
      </w:r>
      <w:r w:rsidR="00343A64"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principles, be developed </w:t>
      </w:r>
      <w:r w:rsidR="00343A64" w:rsidRPr="00637861">
        <w:rPr>
          <w:rFonts w:ascii="Times New Roman" w:hAnsi="Times New Roman" w:cs="Times New Roman"/>
          <w:color w:val="000000" w:themeColor="text1"/>
        </w:rPr>
        <w:t xml:space="preserve">and disclosed </w:t>
      </w:r>
      <w:r w:rsidRPr="00637861">
        <w:rPr>
          <w:rFonts w:ascii="Times New Roman" w:hAnsi="Times New Roman" w:cs="Times New Roman"/>
          <w:color w:val="000000" w:themeColor="text1"/>
        </w:rPr>
        <w:t xml:space="preserve">by the issuer. Such disclosure should be verified by an external reviewer with the latter’s Second Party Opinion (SPO) to be published on the </w:t>
      </w:r>
      <w:r w:rsidR="0019344E">
        <w:rPr>
          <w:rFonts w:ascii="Times New Roman" w:hAnsi="Times New Roman" w:cs="Times New Roman"/>
          <w:color w:val="000000" w:themeColor="text1"/>
        </w:rPr>
        <w:t xml:space="preserve">issuer’s </w:t>
      </w:r>
      <w:r w:rsidR="00AA17FC" w:rsidRPr="00637861">
        <w:rPr>
          <w:rFonts w:ascii="Times New Roman" w:hAnsi="Times New Roman" w:cs="Times New Roman"/>
          <w:color w:val="000000" w:themeColor="text1"/>
        </w:rPr>
        <w:t>website</w:t>
      </w:r>
      <w:r w:rsidRPr="00637861">
        <w:rPr>
          <w:rFonts w:ascii="Times New Roman" w:hAnsi="Times New Roman" w:cs="Times New Roman"/>
          <w:color w:val="000000" w:themeColor="text1"/>
        </w:rPr>
        <w:t>. As regards general financing instruments, the ICMA’s 2020 Sustainability-</w:t>
      </w:r>
      <w:r w:rsidR="00343A64">
        <w:rPr>
          <w:rFonts w:ascii="Times New Roman" w:hAnsi="Times New Roman" w:cs="Times New Roman"/>
          <w:color w:val="000000" w:themeColor="text1"/>
        </w:rPr>
        <w:t>L</w:t>
      </w:r>
      <w:r w:rsidR="00343A64" w:rsidRPr="00637861">
        <w:rPr>
          <w:rFonts w:ascii="Times New Roman" w:hAnsi="Times New Roman" w:cs="Times New Roman"/>
          <w:color w:val="000000" w:themeColor="text1"/>
        </w:rPr>
        <w:t xml:space="preserve">inked </w:t>
      </w:r>
      <w:r w:rsidRPr="00637861">
        <w:rPr>
          <w:rFonts w:ascii="Times New Roman" w:hAnsi="Times New Roman" w:cs="Times New Roman"/>
          <w:color w:val="000000" w:themeColor="text1"/>
        </w:rPr>
        <w:t xml:space="preserve">Bond </w:t>
      </w:r>
      <w:r w:rsidRPr="00637861">
        <w:rPr>
          <w:rFonts w:ascii="Times New Roman" w:hAnsi="Times New Roman" w:cs="Times New Roman"/>
          <w:color w:val="000000" w:themeColor="text1"/>
        </w:rPr>
        <w:lastRenderedPageBreak/>
        <w:t xml:space="preserve">Principles require that the issuer select and calibrate appropriate KPIs and </w:t>
      </w:r>
      <w:r w:rsidR="00343A64">
        <w:rPr>
          <w:rFonts w:ascii="Times New Roman" w:hAnsi="Times New Roman" w:cs="Times New Roman"/>
          <w:color w:val="000000" w:themeColor="text1"/>
        </w:rPr>
        <w:t>s</w:t>
      </w:r>
      <w:r w:rsidR="00343A64" w:rsidRPr="00637861">
        <w:rPr>
          <w:rFonts w:ascii="Times New Roman" w:hAnsi="Times New Roman" w:cs="Times New Roman"/>
          <w:color w:val="000000" w:themeColor="text1"/>
        </w:rPr>
        <w:t xml:space="preserve">ustainability </w:t>
      </w:r>
      <w:r w:rsidR="00343A64">
        <w:rPr>
          <w:rFonts w:ascii="Times New Roman" w:hAnsi="Times New Roman" w:cs="Times New Roman"/>
          <w:color w:val="000000" w:themeColor="text1"/>
        </w:rPr>
        <w:t>p</w:t>
      </w:r>
      <w:r w:rsidR="00343A64" w:rsidRPr="00637861">
        <w:rPr>
          <w:rFonts w:ascii="Times New Roman" w:hAnsi="Times New Roman" w:cs="Times New Roman"/>
          <w:color w:val="000000" w:themeColor="text1"/>
        </w:rPr>
        <w:t xml:space="preserve">erformance </w:t>
      </w:r>
      <w:r w:rsidR="00343A64">
        <w:rPr>
          <w:rFonts w:ascii="Times New Roman" w:hAnsi="Times New Roman" w:cs="Times New Roman"/>
          <w:color w:val="000000" w:themeColor="text1"/>
        </w:rPr>
        <w:t>t</w:t>
      </w:r>
      <w:r w:rsidR="00343A64" w:rsidRPr="00637861">
        <w:rPr>
          <w:rFonts w:ascii="Times New Roman" w:hAnsi="Times New Roman" w:cs="Times New Roman"/>
          <w:color w:val="000000" w:themeColor="text1"/>
        </w:rPr>
        <w:t xml:space="preserve">argets </w:t>
      </w:r>
      <w:r w:rsidRPr="00637861">
        <w:rPr>
          <w:rFonts w:ascii="Times New Roman" w:hAnsi="Times New Roman" w:cs="Times New Roman"/>
          <w:color w:val="000000" w:themeColor="text1"/>
        </w:rPr>
        <w:t xml:space="preserve">(SPTs), define features of the bond on how the financial conditions change </w:t>
      </w:r>
      <w:r w:rsidR="00343A64">
        <w:rPr>
          <w:rFonts w:ascii="Times New Roman" w:hAnsi="Times New Roman" w:cs="Times New Roman"/>
          <w:color w:val="000000" w:themeColor="text1"/>
        </w:rPr>
        <w:t>when</w:t>
      </w:r>
      <w:r w:rsidRPr="00637861">
        <w:rPr>
          <w:rFonts w:ascii="Times New Roman" w:hAnsi="Times New Roman" w:cs="Times New Roman"/>
          <w:color w:val="000000" w:themeColor="text1"/>
        </w:rPr>
        <w:t xml:space="preserve"> the KPIs </w:t>
      </w:r>
      <w:r w:rsidR="00343A64">
        <w:rPr>
          <w:rFonts w:ascii="Times New Roman" w:hAnsi="Times New Roman" w:cs="Times New Roman"/>
          <w:color w:val="000000" w:themeColor="text1"/>
        </w:rPr>
        <w:t xml:space="preserve">are </w:t>
      </w:r>
      <w:r w:rsidRPr="00637861">
        <w:rPr>
          <w:rFonts w:ascii="Times New Roman" w:hAnsi="Times New Roman" w:cs="Times New Roman"/>
          <w:color w:val="000000" w:themeColor="text1"/>
        </w:rPr>
        <w:t>achieve</w:t>
      </w:r>
      <w:r w:rsidR="00343A64">
        <w:rPr>
          <w:rFonts w:ascii="Times New Roman" w:hAnsi="Times New Roman" w:cs="Times New Roman"/>
          <w:color w:val="000000" w:themeColor="text1"/>
        </w:rPr>
        <w:t>d</w:t>
      </w:r>
      <w:r w:rsidRPr="00637861">
        <w:rPr>
          <w:rFonts w:ascii="Times New Roman" w:hAnsi="Times New Roman" w:cs="Times New Roman"/>
          <w:color w:val="000000" w:themeColor="text1"/>
        </w:rPr>
        <w:t>, commit to regular reporting and secure verification of the sustainable finance framework.</w:t>
      </w:r>
      <w:r w:rsidRPr="00637861">
        <w:rPr>
          <w:rStyle w:val="Odwoanieprzypisudolnego"/>
          <w:rFonts w:ascii="Times New Roman" w:hAnsi="Times New Roman" w:cs="Times New Roman"/>
          <w:color w:val="000000" w:themeColor="text1"/>
        </w:rPr>
        <w:footnoteReference w:id="23"/>
      </w:r>
      <w:r w:rsidRPr="00637861">
        <w:rPr>
          <w:rFonts w:ascii="Times New Roman" w:hAnsi="Times New Roman" w:cs="Times New Roman"/>
          <w:color w:val="000000" w:themeColor="text1"/>
        </w:rPr>
        <w:t xml:space="preserve"> </w:t>
      </w:r>
    </w:p>
    <w:p w14:paraId="03065546" w14:textId="030D1B83"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As regards loan financing, the LMA’s 2018 Sustainable Loan Principles (SLLPs)</w:t>
      </w:r>
      <w:r w:rsidRPr="00637861">
        <w:rPr>
          <w:rStyle w:val="Odwoanieprzypisudolnego"/>
          <w:rFonts w:ascii="Times New Roman" w:hAnsi="Times New Roman" w:cs="Times New Roman"/>
          <w:color w:val="000000" w:themeColor="text1"/>
        </w:rPr>
        <w:footnoteReference w:id="24"/>
      </w:r>
      <w:r w:rsidRPr="00637861">
        <w:rPr>
          <w:rFonts w:ascii="Times New Roman" w:hAnsi="Times New Roman" w:cs="Times New Roman"/>
          <w:color w:val="000000" w:themeColor="text1"/>
        </w:rPr>
        <w:t xml:space="preserve"> and 2020 Sustainability-Linked Loan Principles (SLLPs)</w:t>
      </w:r>
      <w:r w:rsidRPr="00637861">
        <w:rPr>
          <w:rStyle w:val="Odwoanieprzypisudolnego"/>
          <w:rFonts w:ascii="Times New Roman" w:hAnsi="Times New Roman" w:cs="Times New Roman"/>
          <w:color w:val="000000" w:themeColor="text1"/>
        </w:rPr>
        <w:footnoteReference w:id="25"/>
      </w:r>
      <w:r w:rsidRPr="00637861">
        <w:rPr>
          <w:rFonts w:ascii="Times New Roman" w:hAnsi="Times New Roman" w:cs="Times New Roman"/>
          <w:color w:val="000000" w:themeColor="text1"/>
        </w:rPr>
        <w:t xml:space="preserve"> </w:t>
      </w:r>
      <w:r w:rsidR="00343A64">
        <w:rPr>
          <w:rFonts w:ascii="Times New Roman" w:hAnsi="Times New Roman" w:cs="Times New Roman"/>
          <w:color w:val="000000" w:themeColor="text1"/>
        </w:rPr>
        <w:t>established</w:t>
      </w:r>
      <w:r w:rsidR="00343A64"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analogous principles. </w:t>
      </w:r>
      <w:r w:rsidR="00343A64">
        <w:rPr>
          <w:rFonts w:ascii="Times New Roman" w:hAnsi="Times New Roman" w:cs="Times New Roman"/>
          <w:color w:val="000000" w:themeColor="text1"/>
        </w:rPr>
        <w:t>H</w:t>
      </w:r>
      <w:r w:rsidR="00343A64" w:rsidRPr="00637861">
        <w:rPr>
          <w:rFonts w:ascii="Times New Roman" w:hAnsi="Times New Roman" w:cs="Times New Roman"/>
          <w:color w:val="000000" w:themeColor="text1"/>
        </w:rPr>
        <w:t>owever</w:t>
      </w:r>
      <w:r w:rsidR="00343A64">
        <w:rPr>
          <w:rFonts w:ascii="Times New Roman" w:hAnsi="Times New Roman" w:cs="Times New Roman"/>
          <w:color w:val="000000" w:themeColor="text1"/>
        </w:rPr>
        <w:t>,</w:t>
      </w:r>
      <w:r w:rsidR="00343A64" w:rsidRPr="00637861">
        <w:rPr>
          <w:rFonts w:ascii="Times New Roman" w:hAnsi="Times New Roman" w:cs="Times New Roman"/>
          <w:color w:val="000000" w:themeColor="text1"/>
        </w:rPr>
        <w:t xml:space="preserve"> </w:t>
      </w:r>
      <w:r w:rsidR="00343A64">
        <w:rPr>
          <w:rFonts w:ascii="Times New Roman" w:hAnsi="Times New Roman" w:cs="Times New Roman"/>
          <w:color w:val="000000" w:themeColor="text1"/>
        </w:rPr>
        <w:t>t</w:t>
      </w:r>
      <w:r w:rsidR="00343A64" w:rsidRPr="00637861">
        <w:rPr>
          <w:rFonts w:ascii="Times New Roman" w:hAnsi="Times New Roman" w:cs="Times New Roman"/>
          <w:color w:val="000000" w:themeColor="text1"/>
        </w:rPr>
        <w:t xml:space="preserve">hey </w:t>
      </w:r>
      <w:r w:rsidRPr="00637861">
        <w:rPr>
          <w:rFonts w:ascii="Times New Roman" w:hAnsi="Times New Roman" w:cs="Times New Roman"/>
          <w:color w:val="000000" w:themeColor="text1"/>
        </w:rPr>
        <w:t>are tailored specifically to lending relationships</w:t>
      </w:r>
      <w:r w:rsidR="00343A64">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and </w:t>
      </w:r>
      <w:r w:rsidR="00343A64">
        <w:rPr>
          <w:rFonts w:ascii="Times New Roman" w:hAnsi="Times New Roman" w:cs="Times New Roman"/>
          <w:color w:val="000000" w:themeColor="text1"/>
        </w:rPr>
        <w:t xml:space="preserve">they </w:t>
      </w:r>
      <w:r w:rsidRPr="00637861">
        <w:rPr>
          <w:rFonts w:ascii="Times New Roman" w:hAnsi="Times New Roman" w:cs="Times New Roman"/>
          <w:color w:val="000000" w:themeColor="text1"/>
        </w:rPr>
        <w:t>offer more flexibility as regards the structuring of the loan terms. They also involve less granular guidance on social issues (i.e. there are no dedicated ‘social’ loan principles, as in the case of bond principles). Notwithstanding important differences between the standards, such as the required level of transparency, they share common features.</w:t>
      </w:r>
      <w:r w:rsidRPr="00637861">
        <w:rPr>
          <w:rStyle w:val="Odwoanieprzypisudolnego"/>
          <w:rFonts w:ascii="Times New Roman" w:hAnsi="Times New Roman" w:cs="Times New Roman"/>
          <w:color w:val="000000" w:themeColor="text1"/>
        </w:rPr>
        <w:footnoteReference w:id="26"/>
      </w:r>
      <w:r w:rsidRPr="00637861">
        <w:rPr>
          <w:rFonts w:ascii="Times New Roman" w:hAnsi="Times New Roman" w:cs="Times New Roman"/>
          <w:color w:val="000000" w:themeColor="text1"/>
        </w:rPr>
        <w:t xml:space="preserve"> First</w:t>
      </w:r>
      <w:r w:rsidR="00343A64">
        <w:rPr>
          <w:rFonts w:ascii="Times New Roman" w:hAnsi="Times New Roman" w:cs="Times New Roman"/>
          <w:color w:val="000000" w:themeColor="text1"/>
        </w:rPr>
        <w:t>ly</w:t>
      </w:r>
      <w:r w:rsidRPr="00637861">
        <w:rPr>
          <w:rFonts w:ascii="Times New Roman" w:hAnsi="Times New Roman" w:cs="Times New Roman"/>
          <w:color w:val="000000" w:themeColor="text1"/>
        </w:rPr>
        <w:t>, sustainable finance instruments require an articulated link to ‘sustainability’ issues – either in terms of projects to be financed or the overall strategic commitments of the borrower to be outlined in a dedicated green financing document. Second</w:t>
      </w:r>
      <w:r w:rsidR="00343A64">
        <w:rPr>
          <w:rFonts w:ascii="Times New Roman" w:hAnsi="Times New Roman" w:cs="Times New Roman"/>
          <w:color w:val="000000" w:themeColor="text1"/>
        </w:rPr>
        <w:t>ly</w:t>
      </w:r>
      <w:r w:rsidRPr="00637861">
        <w:rPr>
          <w:rFonts w:ascii="Times New Roman" w:hAnsi="Times New Roman" w:cs="Times New Roman"/>
          <w:color w:val="000000" w:themeColor="text1"/>
        </w:rPr>
        <w:t xml:space="preserve">, the standards and market practice foresee a key role for an external party in reviewing </w:t>
      </w:r>
      <w:r w:rsidR="00343A64">
        <w:rPr>
          <w:rFonts w:ascii="Times New Roman" w:hAnsi="Times New Roman" w:cs="Times New Roman"/>
          <w:color w:val="000000" w:themeColor="text1"/>
        </w:rPr>
        <w:t xml:space="preserve">a </w:t>
      </w:r>
      <w:r w:rsidR="00343A64" w:rsidRPr="00637861">
        <w:rPr>
          <w:rFonts w:ascii="Times New Roman" w:hAnsi="Times New Roman" w:cs="Times New Roman"/>
          <w:color w:val="000000" w:themeColor="text1"/>
        </w:rPr>
        <w:t>corporat</w:t>
      </w:r>
      <w:r w:rsidR="00343A64">
        <w:rPr>
          <w:rFonts w:ascii="Times New Roman" w:hAnsi="Times New Roman" w:cs="Times New Roman"/>
          <w:color w:val="000000" w:themeColor="text1"/>
        </w:rPr>
        <w:t>ion</w:t>
      </w:r>
      <w:r w:rsidR="00343A64" w:rsidRPr="00637861">
        <w:rPr>
          <w:rFonts w:ascii="Times New Roman" w:hAnsi="Times New Roman" w:cs="Times New Roman"/>
          <w:color w:val="000000" w:themeColor="text1"/>
        </w:rPr>
        <w:t xml:space="preserve">’s </w:t>
      </w:r>
      <w:r w:rsidRPr="00637861">
        <w:rPr>
          <w:rFonts w:ascii="Times New Roman" w:hAnsi="Times New Roman" w:cs="Times New Roman"/>
          <w:color w:val="000000" w:themeColor="text1"/>
        </w:rPr>
        <w:t xml:space="preserve">sustainable finance framework </w:t>
      </w:r>
      <w:r w:rsidR="00343A64">
        <w:rPr>
          <w:rFonts w:ascii="Times New Roman" w:hAnsi="Times New Roman" w:cs="Times New Roman"/>
          <w:color w:val="000000" w:themeColor="text1"/>
        </w:rPr>
        <w:t xml:space="preserve">in order </w:t>
      </w:r>
      <w:r w:rsidRPr="00637861">
        <w:rPr>
          <w:rFonts w:ascii="Times New Roman" w:hAnsi="Times New Roman" w:cs="Times New Roman"/>
          <w:color w:val="000000" w:themeColor="text1"/>
        </w:rPr>
        <w:t>to assess their compliance with standards and level of ambition. Third</w:t>
      </w:r>
      <w:r w:rsidR="00343A64">
        <w:rPr>
          <w:rFonts w:ascii="Times New Roman" w:hAnsi="Times New Roman" w:cs="Times New Roman"/>
          <w:color w:val="000000" w:themeColor="text1"/>
        </w:rPr>
        <w:t>ly</w:t>
      </w:r>
      <w:r w:rsidRPr="00637861">
        <w:rPr>
          <w:rFonts w:ascii="Times New Roman" w:hAnsi="Times New Roman" w:cs="Times New Roman"/>
          <w:color w:val="000000" w:themeColor="text1"/>
        </w:rPr>
        <w:t xml:space="preserve">, and this aspect is particularly important for the bond market, sustainable finance instruments come with novel obligations related to continuous monitoring and reporting of impact. </w:t>
      </w:r>
    </w:p>
    <w:p w14:paraId="0FD2EC14" w14:textId="41AD08E8" w:rsidR="008B50D1" w:rsidRPr="00637861" w:rsidRDefault="008B50D1" w:rsidP="00A05A67">
      <w:pPr>
        <w:spacing w:after="120" w:line="360" w:lineRule="auto"/>
        <w:jc w:val="both"/>
        <w:rPr>
          <w:rFonts w:ascii="Times New Roman" w:hAnsi="Times New Roman" w:cs="Times New Roman"/>
        </w:rPr>
      </w:pPr>
      <w:r w:rsidRPr="00637861">
        <w:rPr>
          <w:rFonts w:ascii="Times New Roman" w:hAnsi="Times New Roman" w:cs="Times New Roman"/>
        </w:rPr>
        <w:t xml:space="preserve">In parallel to the development of global market standards, the EU’s sustainable finance agenda was introduced to support the rechannelling of capital flows </w:t>
      </w:r>
      <w:r w:rsidR="00343A64">
        <w:rPr>
          <w:rFonts w:ascii="Times New Roman" w:hAnsi="Times New Roman" w:cs="Times New Roman"/>
        </w:rPr>
        <w:t>in</w:t>
      </w:r>
      <w:r w:rsidRPr="00637861">
        <w:rPr>
          <w:rFonts w:ascii="Times New Roman" w:hAnsi="Times New Roman" w:cs="Times New Roman"/>
        </w:rPr>
        <w:t xml:space="preserve">to sustainable investments and </w:t>
      </w:r>
      <w:r w:rsidR="00343A64">
        <w:rPr>
          <w:rFonts w:ascii="Times New Roman" w:hAnsi="Times New Roman" w:cs="Times New Roman"/>
        </w:rPr>
        <w:t xml:space="preserve">to </w:t>
      </w:r>
      <w:r w:rsidRPr="00637861">
        <w:rPr>
          <w:rFonts w:ascii="Times New Roman" w:hAnsi="Times New Roman" w:cs="Times New Roman"/>
        </w:rPr>
        <w:t>improve corporate governance through more comprehensive</w:t>
      </w:r>
      <w:r w:rsidR="00343A64">
        <w:rPr>
          <w:rFonts w:ascii="Times New Roman" w:hAnsi="Times New Roman" w:cs="Times New Roman"/>
        </w:rPr>
        <w:t>ly</w:t>
      </w:r>
      <w:r w:rsidRPr="00637861">
        <w:rPr>
          <w:rFonts w:ascii="Times New Roman" w:hAnsi="Times New Roman" w:cs="Times New Roman"/>
        </w:rPr>
        <w:t xml:space="preserve"> incorporati</w:t>
      </w:r>
      <w:r w:rsidR="00343A64">
        <w:rPr>
          <w:rFonts w:ascii="Times New Roman" w:hAnsi="Times New Roman" w:cs="Times New Roman"/>
        </w:rPr>
        <w:t>ng</w:t>
      </w:r>
      <w:r w:rsidRPr="00637861">
        <w:rPr>
          <w:rFonts w:ascii="Times New Roman" w:hAnsi="Times New Roman" w:cs="Times New Roman"/>
        </w:rPr>
        <w:t xml:space="preserve"> environmental and social considerations and exten</w:t>
      </w:r>
      <w:r w:rsidR="00343A64">
        <w:rPr>
          <w:rFonts w:ascii="Times New Roman" w:hAnsi="Times New Roman" w:cs="Times New Roman"/>
        </w:rPr>
        <w:t>ding</w:t>
      </w:r>
      <w:r w:rsidRPr="00637861">
        <w:rPr>
          <w:rFonts w:ascii="Times New Roman" w:hAnsi="Times New Roman" w:cs="Times New Roman"/>
        </w:rPr>
        <w:t xml:space="preserve"> corporate</w:t>
      </w:r>
      <w:r w:rsidR="00DC67DD">
        <w:rPr>
          <w:rFonts w:ascii="Times New Roman" w:hAnsi="Times New Roman" w:cs="Times New Roman"/>
        </w:rPr>
        <w:t xml:space="preserve">s’ </w:t>
      </w:r>
      <w:r w:rsidRPr="00637861">
        <w:rPr>
          <w:rFonts w:ascii="Times New Roman" w:hAnsi="Times New Roman" w:cs="Times New Roman"/>
        </w:rPr>
        <w:t>time horizon</w:t>
      </w:r>
      <w:r w:rsidR="00343A64">
        <w:rPr>
          <w:rFonts w:ascii="Times New Roman" w:hAnsi="Times New Roman" w:cs="Times New Roman"/>
        </w:rPr>
        <w:t>s</w:t>
      </w:r>
      <w:r w:rsidRPr="00637861">
        <w:rPr>
          <w:rFonts w:ascii="Times New Roman" w:hAnsi="Times New Roman" w:cs="Times New Roman"/>
        </w:rPr>
        <w:t>.</w:t>
      </w:r>
      <w:r w:rsidRPr="00637861">
        <w:rPr>
          <w:rStyle w:val="Odwoanieprzypisudolnego"/>
          <w:rFonts w:ascii="Times New Roman" w:hAnsi="Times New Roman" w:cs="Times New Roman"/>
        </w:rPr>
        <w:footnoteReference w:id="27"/>
      </w:r>
      <w:r w:rsidRPr="00637861">
        <w:rPr>
          <w:rFonts w:ascii="Times New Roman" w:hAnsi="Times New Roman" w:cs="Times New Roman"/>
        </w:rPr>
        <w:t xml:space="preserve"> The EU regulations have directly and indirectly created a system of labels for green and sustainable financial products and services that further substantiate the above-mentioned key characteristics developed by </w:t>
      </w:r>
      <w:r w:rsidR="00343A64">
        <w:rPr>
          <w:rFonts w:ascii="Times New Roman" w:hAnsi="Times New Roman" w:cs="Times New Roman"/>
        </w:rPr>
        <w:t xml:space="preserve">the </w:t>
      </w:r>
      <w:r w:rsidRPr="00637861">
        <w:rPr>
          <w:rFonts w:ascii="Times New Roman" w:hAnsi="Times New Roman" w:cs="Times New Roman"/>
        </w:rPr>
        <w:t xml:space="preserve">ICMA and </w:t>
      </w:r>
      <w:r w:rsidR="00343A64">
        <w:rPr>
          <w:rFonts w:ascii="Times New Roman" w:hAnsi="Times New Roman" w:cs="Times New Roman"/>
        </w:rPr>
        <w:t xml:space="preserve">the </w:t>
      </w:r>
      <w:r w:rsidRPr="00637861">
        <w:rPr>
          <w:rFonts w:ascii="Times New Roman" w:hAnsi="Times New Roman" w:cs="Times New Roman"/>
        </w:rPr>
        <w:t xml:space="preserve">LMA. The cornerstone of the EU’s approach is the EU Green </w:t>
      </w:r>
      <w:r w:rsidRPr="00637861">
        <w:rPr>
          <w:rFonts w:ascii="Times New Roman" w:hAnsi="Times New Roman" w:cs="Times New Roman"/>
        </w:rPr>
        <w:lastRenderedPageBreak/>
        <w:t>Taxonomy</w:t>
      </w:r>
      <w:r w:rsidR="00343A64">
        <w:rPr>
          <w:rFonts w:ascii="Times New Roman" w:hAnsi="Times New Roman" w:cs="Times New Roman"/>
        </w:rPr>
        <w:t>,</w:t>
      </w:r>
      <w:r w:rsidRPr="00637861">
        <w:rPr>
          <w:rFonts w:ascii="Times New Roman" w:hAnsi="Times New Roman" w:cs="Times New Roman"/>
        </w:rPr>
        <w:t xml:space="preserve"> which elaborates criteria for activities to be considered ‘sustainable’, while the EU Green Bond Regulation (EUGBR) introduces a voluntary regime for ‘high quality’ bond instruments whose proceeds are </w:t>
      </w:r>
      <w:r w:rsidR="00343A64">
        <w:rPr>
          <w:rFonts w:ascii="Times New Roman" w:hAnsi="Times New Roman" w:cs="Times New Roman"/>
        </w:rPr>
        <w:t xml:space="preserve">meant </w:t>
      </w:r>
      <w:r w:rsidRPr="00637861">
        <w:rPr>
          <w:rFonts w:ascii="Times New Roman" w:hAnsi="Times New Roman" w:cs="Times New Roman"/>
        </w:rPr>
        <w:t>to finance environmentally beneficial projects.</w:t>
      </w:r>
      <w:r w:rsidRPr="00637861">
        <w:rPr>
          <w:rStyle w:val="Odwoanieprzypisudolnego"/>
          <w:rFonts w:ascii="Times New Roman" w:hAnsi="Times New Roman" w:cs="Times New Roman"/>
        </w:rPr>
        <w:footnoteReference w:id="28"/>
      </w:r>
      <w:r w:rsidRPr="00637861">
        <w:rPr>
          <w:rFonts w:ascii="Times New Roman" w:hAnsi="Times New Roman" w:cs="Times New Roman"/>
        </w:rPr>
        <w:t xml:space="preserve"> Any issuer</w:t>
      </w:r>
      <w:r w:rsidR="00343A64">
        <w:rPr>
          <w:rFonts w:ascii="Times New Roman" w:hAnsi="Times New Roman" w:cs="Times New Roman"/>
        </w:rPr>
        <w:t xml:space="preserve"> –</w:t>
      </w:r>
      <w:r w:rsidR="00343A64" w:rsidRPr="00637861">
        <w:rPr>
          <w:rFonts w:ascii="Times New Roman" w:hAnsi="Times New Roman" w:cs="Times New Roman"/>
        </w:rPr>
        <w:t xml:space="preserve"> </w:t>
      </w:r>
      <w:r w:rsidRPr="00637861">
        <w:rPr>
          <w:rFonts w:ascii="Times New Roman" w:hAnsi="Times New Roman" w:cs="Times New Roman"/>
        </w:rPr>
        <w:t xml:space="preserve">public or private, </w:t>
      </w:r>
      <w:r w:rsidR="00343A64">
        <w:rPr>
          <w:rFonts w:ascii="Times New Roman" w:hAnsi="Times New Roman" w:cs="Times New Roman"/>
        </w:rPr>
        <w:t xml:space="preserve">based in the </w:t>
      </w:r>
      <w:r w:rsidRPr="00637861">
        <w:rPr>
          <w:rFonts w:ascii="Times New Roman" w:hAnsi="Times New Roman" w:cs="Times New Roman"/>
        </w:rPr>
        <w:t xml:space="preserve">EU or </w:t>
      </w:r>
      <w:r w:rsidR="00343A64">
        <w:rPr>
          <w:rFonts w:ascii="Times New Roman" w:hAnsi="Times New Roman" w:cs="Times New Roman"/>
        </w:rPr>
        <w:t xml:space="preserve">a </w:t>
      </w:r>
      <w:r w:rsidRPr="00637861">
        <w:rPr>
          <w:rFonts w:ascii="Times New Roman" w:hAnsi="Times New Roman" w:cs="Times New Roman"/>
        </w:rPr>
        <w:t>third country</w:t>
      </w:r>
      <w:r w:rsidR="00343A64">
        <w:rPr>
          <w:rFonts w:ascii="Times New Roman" w:hAnsi="Times New Roman" w:cs="Times New Roman"/>
        </w:rPr>
        <w:t xml:space="preserve"> –</w:t>
      </w:r>
      <w:r w:rsidR="00343A64" w:rsidRPr="00637861">
        <w:rPr>
          <w:rFonts w:ascii="Times New Roman" w:hAnsi="Times New Roman" w:cs="Times New Roman"/>
        </w:rPr>
        <w:t xml:space="preserve"> </w:t>
      </w:r>
      <w:r w:rsidRPr="00637861">
        <w:rPr>
          <w:rFonts w:ascii="Times New Roman" w:hAnsi="Times New Roman" w:cs="Times New Roman"/>
        </w:rPr>
        <w:t>can choose to issue a bond in line with the EUGBR requirements. Two aspects of the EU regime are central to its credibility. First</w:t>
      </w:r>
      <w:r w:rsidR="00343A64">
        <w:rPr>
          <w:rFonts w:ascii="Times New Roman" w:hAnsi="Times New Roman" w:cs="Times New Roman"/>
        </w:rPr>
        <w:t>ly</w:t>
      </w:r>
      <w:r w:rsidRPr="00637861">
        <w:rPr>
          <w:rFonts w:ascii="Times New Roman" w:hAnsi="Times New Roman" w:cs="Times New Roman"/>
        </w:rPr>
        <w:t>, the regulation requires granular pre- and post-issuance disclosures regarding the green financing</w:t>
      </w:r>
      <w:r w:rsidR="002A0011">
        <w:rPr>
          <w:rFonts w:ascii="Times New Roman" w:hAnsi="Times New Roman" w:cs="Times New Roman"/>
        </w:rPr>
        <w:t>,</w:t>
      </w:r>
      <w:r w:rsidRPr="00637861">
        <w:rPr>
          <w:rFonts w:ascii="Times New Roman" w:hAnsi="Times New Roman" w:cs="Times New Roman"/>
        </w:rPr>
        <w:t xml:space="preserve"> the overall strategy of the company and </w:t>
      </w:r>
      <w:r w:rsidR="002A0011">
        <w:rPr>
          <w:rFonts w:ascii="Times New Roman" w:hAnsi="Times New Roman" w:cs="Times New Roman"/>
        </w:rPr>
        <w:t xml:space="preserve">the </w:t>
      </w:r>
      <w:r w:rsidRPr="00637861">
        <w:rPr>
          <w:rFonts w:ascii="Times New Roman" w:hAnsi="Times New Roman" w:cs="Times New Roman"/>
        </w:rPr>
        <w:t>impact on social aspects, such as just transition. Second</w:t>
      </w:r>
      <w:r w:rsidR="002A0011">
        <w:rPr>
          <w:rFonts w:ascii="Times New Roman" w:hAnsi="Times New Roman" w:cs="Times New Roman"/>
        </w:rPr>
        <w:t>ly</w:t>
      </w:r>
      <w:r w:rsidRPr="00637861">
        <w:rPr>
          <w:rFonts w:ascii="Times New Roman" w:hAnsi="Times New Roman" w:cs="Times New Roman"/>
        </w:rPr>
        <w:t xml:space="preserve">, a mandatory supervisory regime is established for the external reviewers of such disclosures, whereby </w:t>
      </w:r>
      <w:r w:rsidR="002A0011">
        <w:rPr>
          <w:rFonts w:ascii="Times New Roman" w:hAnsi="Times New Roman" w:cs="Times New Roman"/>
        </w:rPr>
        <w:t xml:space="preserve">the </w:t>
      </w:r>
      <w:r w:rsidRPr="00637861">
        <w:rPr>
          <w:rFonts w:ascii="Times New Roman" w:hAnsi="Times New Roman" w:cs="Times New Roman"/>
        </w:rPr>
        <w:t xml:space="preserve">European Securities and Markets Agency (ESMA) is tasked with registering and monitoring compliance of external reviewers of corporate GBFs with principles relating to </w:t>
      </w:r>
      <w:r w:rsidR="00906715">
        <w:rPr>
          <w:rFonts w:ascii="Times New Roman" w:hAnsi="Times New Roman" w:cs="Times New Roman"/>
        </w:rPr>
        <w:t>framework’s</w:t>
      </w:r>
      <w:r w:rsidRPr="00637861">
        <w:rPr>
          <w:rFonts w:ascii="Times New Roman" w:hAnsi="Times New Roman" w:cs="Times New Roman"/>
        </w:rPr>
        <w:t xml:space="preserve"> integrity and competence.</w:t>
      </w:r>
      <w:r w:rsidRPr="00637861">
        <w:rPr>
          <w:rStyle w:val="Odwoanieprzypisudolnego"/>
          <w:rFonts w:ascii="Times New Roman" w:hAnsi="Times New Roman" w:cs="Times New Roman"/>
        </w:rPr>
        <w:footnoteReference w:id="29"/>
      </w:r>
      <w:r w:rsidRPr="00637861">
        <w:rPr>
          <w:rFonts w:ascii="Times New Roman" w:hAnsi="Times New Roman" w:cs="Times New Roman"/>
        </w:rPr>
        <w:t xml:space="preserve"> In addition to a binding regime for bonds identified as ‘green’, the EUGBR introduces a voluntary regime for sustainability-linked bonds, that is</w:t>
      </w:r>
      <w:r w:rsidR="002A0011">
        <w:rPr>
          <w:rFonts w:ascii="Times New Roman" w:hAnsi="Times New Roman" w:cs="Times New Roman"/>
        </w:rPr>
        <w:t>,</w:t>
      </w:r>
      <w:r w:rsidRPr="00637861">
        <w:rPr>
          <w:rFonts w:ascii="Times New Roman" w:hAnsi="Times New Roman" w:cs="Times New Roman"/>
        </w:rPr>
        <w:t xml:space="preserve"> bonds </w:t>
      </w:r>
      <w:r w:rsidR="002A0011">
        <w:rPr>
          <w:rFonts w:ascii="Times New Roman" w:hAnsi="Times New Roman" w:cs="Times New Roman"/>
        </w:rPr>
        <w:t>whose</w:t>
      </w:r>
      <w:r w:rsidR="002A0011" w:rsidRPr="00637861">
        <w:rPr>
          <w:rFonts w:ascii="Times New Roman" w:hAnsi="Times New Roman" w:cs="Times New Roman"/>
        </w:rPr>
        <w:t xml:space="preserve"> </w:t>
      </w:r>
      <w:r w:rsidRPr="00637861">
        <w:rPr>
          <w:rFonts w:ascii="Times New Roman" w:hAnsi="Times New Roman" w:cs="Times New Roman"/>
        </w:rPr>
        <w:t xml:space="preserve">financial or structural characteristics vary depending on </w:t>
      </w:r>
      <w:r w:rsidR="002A0011">
        <w:rPr>
          <w:rFonts w:ascii="Times New Roman" w:hAnsi="Times New Roman" w:cs="Times New Roman"/>
        </w:rPr>
        <w:t>whether</w:t>
      </w:r>
      <w:r w:rsidRPr="00637861">
        <w:rPr>
          <w:rFonts w:ascii="Times New Roman" w:hAnsi="Times New Roman" w:cs="Times New Roman"/>
        </w:rPr>
        <w:t xml:space="preserve"> the issuer </w:t>
      </w:r>
      <w:r w:rsidR="002A0011">
        <w:rPr>
          <w:rFonts w:ascii="Times New Roman" w:hAnsi="Times New Roman" w:cs="Times New Roman"/>
        </w:rPr>
        <w:t>achieves</w:t>
      </w:r>
      <w:r w:rsidR="002A0011" w:rsidRPr="00637861">
        <w:rPr>
          <w:rFonts w:ascii="Times New Roman" w:hAnsi="Times New Roman" w:cs="Times New Roman"/>
        </w:rPr>
        <w:t xml:space="preserve"> </w:t>
      </w:r>
      <w:r w:rsidRPr="00637861">
        <w:rPr>
          <w:rFonts w:ascii="Times New Roman" w:hAnsi="Times New Roman" w:cs="Times New Roman"/>
        </w:rPr>
        <w:t xml:space="preserve">predefined environmental sustainability objectives and </w:t>
      </w:r>
      <w:r w:rsidR="002A0011" w:rsidRPr="00637861">
        <w:rPr>
          <w:rFonts w:ascii="Times New Roman" w:hAnsi="Times New Roman" w:cs="Times New Roman"/>
        </w:rPr>
        <w:t>link</w:t>
      </w:r>
      <w:r w:rsidR="002A0011">
        <w:rPr>
          <w:rFonts w:ascii="Times New Roman" w:hAnsi="Times New Roman" w:cs="Times New Roman"/>
        </w:rPr>
        <w:t>s</w:t>
      </w:r>
      <w:r w:rsidR="002A0011" w:rsidRPr="00637861">
        <w:rPr>
          <w:rFonts w:ascii="Times New Roman" w:hAnsi="Times New Roman" w:cs="Times New Roman"/>
        </w:rPr>
        <w:t xml:space="preserve"> </w:t>
      </w:r>
      <w:r w:rsidRPr="00637861">
        <w:rPr>
          <w:rFonts w:ascii="Times New Roman" w:hAnsi="Times New Roman" w:cs="Times New Roman"/>
        </w:rPr>
        <w:t>these to an overall transition strategy of the firm.</w:t>
      </w:r>
      <w:r w:rsidRPr="00637861">
        <w:rPr>
          <w:rStyle w:val="Odwoanieprzypisudolnego"/>
          <w:rFonts w:ascii="Times New Roman" w:hAnsi="Times New Roman" w:cs="Times New Roman"/>
        </w:rPr>
        <w:footnoteReference w:id="30"/>
      </w:r>
      <w:r w:rsidRPr="00637861">
        <w:rPr>
          <w:rFonts w:ascii="Times New Roman" w:hAnsi="Times New Roman" w:cs="Times New Roman"/>
        </w:rPr>
        <w:t xml:space="preserve"> Despite most EU countries being predominantly bank-based systems, there is currently no dedicated </w:t>
      </w:r>
      <w:r w:rsidR="004104FC">
        <w:rPr>
          <w:rFonts w:ascii="Times New Roman" w:hAnsi="Times New Roman" w:cs="Times New Roman"/>
        </w:rPr>
        <w:t xml:space="preserve">regulatory </w:t>
      </w:r>
      <w:r w:rsidRPr="00637861">
        <w:rPr>
          <w:rFonts w:ascii="Times New Roman" w:hAnsi="Times New Roman" w:cs="Times New Roman"/>
        </w:rPr>
        <w:t>treatment for sustainable loan financing under EU law.</w:t>
      </w:r>
      <w:r w:rsidRPr="00637861">
        <w:rPr>
          <w:rStyle w:val="Odwoanieprzypisudolnego"/>
          <w:rFonts w:ascii="Times New Roman" w:hAnsi="Times New Roman" w:cs="Times New Roman"/>
        </w:rPr>
        <w:footnoteReference w:id="31"/>
      </w:r>
      <w:r w:rsidRPr="00637861">
        <w:rPr>
          <w:rFonts w:ascii="Times New Roman" w:hAnsi="Times New Roman" w:cs="Times New Roman"/>
        </w:rPr>
        <w:t xml:space="preserve"> </w:t>
      </w:r>
    </w:p>
    <w:p w14:paraId="7DDF9276" w14:textId="43AD972F" w:rsidR="008B50D1" w:rsidRPr="00637861" w:rsidRDefault="008B50D1" w:rsidP="00A05A67">
      <w:pPr>
        <w:spacing w:after="120" w:line="360" w:lineRule="auto"/>
        <w:jc w:val="both"/>
        <w:rPr>
          <w:rFonts w:ascii="Times New Roman" w:hAnsi="Times New Roman" w:cs="Times New Roman"/>
        </w:rPr>
      </w:pPr>
      <w:r w:rsidRPr="00637861">
        <w:rPr>
          <w:rFonts w:ascii="Times New Roman" w:hAnsi="Times New Roman" w:cs="Times New Roman"/>
        </w:rPr>
        <w:t>The EU’s intervention in the sustainable finance market extends beyond regulation: European institutions have leveraged their various positions as policymakers and legislators, supervisors and central banks and market participants to facilitate market development.</w:t>
      </w:r>
      <w:r w:rsidRPr="00637861">
        <w:rPr>
          <w:rStyle w:val="Odwoanieprzypisudolnego"/>
          <w:rFonts w:ascii="Times New Roman" w:hAnsi="Times New Roman" w:cs="Times New Roman"/>
        </w:rPr>
        <w:footnoteReference w:id="32"/>
      </w:r>
      <w:r w:rsidRPr="00637861">
        <w:rPr>
          <w:rFonts w:ascii="Times New Roman" w:hAnsi="Times New Roman" w:cs="Times New Roman"/>
        </w:rPr>
        <w:t xml:space="preserve"> The impact of such multifaceted intervention on individual </w:t>
      </w:r>
      <w:r w:rsidRPr="00637861">
        <w:rPr>
          <w:rFonts w:ascii="Times New Roman" w:hAnsi="Times New Roman" w:cs="Times New Roman"/>
          <w:i/>
          <w:iCs/>
        </w:rPr>
        <w:t>private</w:t>
      </w:r>
      <w:r w:rsidRPr="00637861">
        <w:rPr>
          <w:rFonts w:ascii="Times New Roman" w:hAnsi="Times New Roman" w:cs="Times New Roman"/>
        </w:rPr>
        <w:t xml:space="preserve"> financing relationships </w:t>
      </w:r>
      <w:r w:rsidR="002A0011">
        <w:rPr>
          <w:rFonts w:ascii="Times New Roman" w:hAnsi="Times New Roman" w:cs="Times New Roman"/>
        </w:rPr>
        <w:t xml:space="preserve">that are </w:t>
      </w:r>
      <w:r w:rsidRPr="00637861">
        <w:rPr>
          <w:rFonts w:ascii="Times New Roman" w:hAnsi="Times New Roman" w:cs="Times New Roman"/>
        </w:rPr>
        <w:t xml:space="preserve">identified as ‘sustainable’ is rarely captured by </w:t>
      </w:r>
      <w:r w:rsidR="002A0011">
        <w:rPr>
          <w:rFonts w:ascii="Times New Roman" w:hAnsi="Times New Roman" w:cs="Times New Roman"/>
        </w:rPr>
        <w:t xml:space="preserve">the </w:t>
      </w:r>
      <w:r w:rsidRPr="00637861">
        <w:rPr>
          <w:rFonts w:ascii="Times New Roman" w:hAnsi="Times New Roman" w:cs="Times New Roman"/>
        </w:rPr>
        <w:lastRenderedPageBreak/>
        <w:t xml:space="preserve">legal scholarship. However, the comprehensiveness of the EU intervention provides a unique test case for capturing </w:t>
      </w:r>
      <w:r w:rsidR="002A0011">
        <w:rPr>
          <w:rFonts w:ascii="Times New Roman" w:hAnsi="Times New Roman" w:cs="Times New Roman"/>
        </w:rPr>
        <w:t xml:space="preserve">the </w:t>
      </w:r>
      <w:r w:rsidRPr="00637861">
        <w:rPr>
          <w:rFonts w:ascii="Times New Roman" w:hAnsi="Times New Roman" w:cs="Times New Roman"/>
        </w:rPr>
        <w:t xml:space="preserve">law’s potential role in supporting </w:t>
      </w:r>
      <w:r w:rsidR="002A0011" w:rsidRPr="00637861">
        <w:rPr>
          <w:rFonts w:ascii="Times New Roman" w:hAnsi="Times New Roman" w:cs="Times New Roman"/>
        </w:rPr>
        <w:t xml:space="preserve">transformation </w:t>
      </w:r>
      <w:r w:rsidR="002A0011">
        <w:rPr>
          <w:rFonts w:ascii="Times New Roman" w:hAnsi="Times New Roman" w:cs="Times New Roman"/>
        </w:rPr>
        <w:t xml:space="preserve">of the </w:t>
      </w:r>
      <w:r w:rsidRPr="00637861">
        <w:rPr>
          <w:rFonts w:ascii="Times New Roman" w:hAnsi="Times New Roman" w:cs="Times New Roman"/>
        </w:rPr>
        <w:t>socioeconomic system.</w:t>
      </w:r>
      <w:r w:rsidRPr="00637861">
        <w:rPr>
          <w:rStyle w:val="Odwoanieprzypisudolnego"/>
          <w:rFonts w:ascii="Times New Roman" w:hAnsi="Times New Roman" w:cs="Times New Roman"/>
        </w:rPr>
        <w:footnoteReference w:id="33"/>
      </w:r>
      <w:r w:rsidRPr="00637861">
        <w:rPr>
          <w:rFonts w:ascii="Times New Roman" w:hAnsi="Times New Roman" w:cs="Times New Roman"/>
        </w:rPr>
        <w:t xml:space="preserve"> </w:t>
      </w:r>
      <w:r w:rsidR="0007473B" w:rsidRPr="00637861">
        <w:rPr>
          <w:rFonts w:ascii="Times New Roman" w:hAnsi="Times New Roman" w:cs="Times New Roman"/>
        </w:rPr>
        <w:t>In the light of</w:t>
      </w:r>
      <w:r w:rsidRPr="00637861">
        <w:rPr>
          <w:rFonts w:ascii="Times New Roman" w:hAnsi="Times New Roman" w:cs="Times New Roman"/>
        </w:rPr>
        <w:t xml:space="preserve"> these puzzles</w:t>
      </w:r>
      <w:r w:rsidR="002A0011">
        <w:rPr>
          <w:rFonts w:ascii="Times New Roman" w:hAnsi="Times New Roman" w:cs="Times New Roman"/>
        </w:rPr>
        <w:t>,</w:t>
      </w:r>
      <w:r w:rsidRPr="00637861">
        <w:rPr>
          <w:rFonts w:ascii="Times New Roman" w:hAnsi="Times New Roman" w:cs="Times New Roman"/>
        </w:rPr>
        <w:t xml:space="preserve"> the following sections seek to answer two questions. First</w:t>
      </w:r>
      <w:r w:rsidR="002A0011">
        <w:rPr>
          <w:rFonts w:ascii="Times New Roman" w:hAnsi="Times New Roman" w:cs="Times New Roman"/>
        </w:rPr>
        <w:t>ly</w:t>
      </w:r>
      <w:r w:rsidRPr="00637861">
        <w:rPr>
          <w:rFonts w:ascii="Times New Roman" w:hAnsi="Times New Roman" w:cs="Times New Roman"/>
        </w:rPr>
        <w:t>, how are sustainable finance instruments different from non-sustainable finance from a legal perspective? And second</w:t>
      </w:r>
      <w:r w:rsidR="002A0011">
        <w:rPr>
          <w:rFonts w:ascii="Times New Roman" w:hAnsi="Times New Roman" w:cs="Times New Roman"/>
        </w:rPr>
        <w:t>ly</w:t>
      </w:r>
      <w:r w:rsidRPr="00637861">
        <w:rPr>
          <w:rFonts w:ascii="Times New Roman" w:hAnsi="Times New Roman" w:cs="Times New Roman"/>
        </w:rPr>
        <w:t>, how can any such differences</w:t>
      </w:r>
      <w:r w:rsidR="002A0011">
        <w:rPr>
          <w:rFonts w:ascii="Times New Roman" w:hAnsi="Times New Roman" w:cs="Times New Roman"/>
        </w:rPr>
        <w:t>,</w:t>
      </w:r>
      <w:r w:rsidRPr="00637861">
        <w:rPr>
          <w:rFonts w:ascii="Times New Roman" w:hAnsi="Times New Roman" w:cs="Times New Roman"/>
        </w:rPr>
        <w:t xml:space="preserve"> </w:t>
      </w:r>
      <w:r w:rsidR="002A0011">
        <w:rPr>
          <w:rFonts w:ascii="Times New Roman" w:hAnsi="Times New Roman" w:cs="Times New Roman"/>
        </w:rPr>
        <w:t>and the</w:t>
      </w:r>
      <w:r w:rsidRPr="00637861">
        <w:rPr>
          <w:rFonts w:ascii="Times New Roman" w:hAnsi="Times New Roman" w:cs="Times New Roman"/>
        </w:rPr>
        <w:t xml:space="preserve"> institutional dynamics observed in their context, contribute to our understanding of </w:t>
      </w:r>
      <w:r w:rsidR="002A0011">
        <w:rPr>
          <w:rFonts w:ascii="Times New Roman" w:hAnsi="Times New Roman" w:cs="Times New Roman"/>
        </w:rPr>
        <w:t xml:space="preserve">the </w:t>
      </w:r>
      <w:r w:rsidRPr="00637861">
        <w:rPr>
          <w:rFonts w:ascii="Times New Roman" w:hAnsi="Times New Roman" w:cs="Times New Roman"/>
        </w:rPr>
        <w:t>law’s constitutive role in the economy and its transformative potential?</w:t>
      </w:r>
    </w:p>
    <w:p w14:paraId="0109E00E" w14:textId="77777777" w:rsidR="008B50D1" w:rsidRPr="00637861" w:rsidRDefault="008B50D1" w:rsidP="00A05A67">
      <w:pPr>
        <w:spacing w:after="120" w:line="360" w:lineRule="auto"/>
        <w:jc w:val="both"/>
        <w:rPr>
          <w:rFonts w:ascii="Times New Roman" w:hAnsi="Times New Roman" w:cs="Times New Roman"/>
        </w:rPr>
      </w:pPr>
    </w:p>
    <w:p w14:paraId="756E4CBF" w14:textId="3DF34905" w:rsidR="008B50D1" w:rsidRPr="00637861" w:rsidRDefault="008B50D1" w:rsidP="00A05A67">
      <w:pPr>
        <w:pStyle w:val="Nagwek1"/>
        <w:numPr>
          <w:ilvl w:val="0"/>
          <w:numId w:val="11"/>
        </w:numPr>
        <w:spacing w:before="0" w:after="120" w:line="360" w:lineRule="auto"/>
        <w:jc w:val="both"/>
        <w:rPr>
          <w:rFonts w:ascii="Times New Roman" w:hAnsi="Times New Roman" w:cs="Times New Roman"/>
          <w:b/>
          <w:bCs/>
          <w:color w:val="000000" w:themeColor="text1"/>
          <w:sz w:val="24"/>
          <w:szCs w:val="24"/>
        </w:rPr>
      </w:pPr>
      <w:r w:rsidRPr="00637861">
        <w:rPr>
          <w:rFonts w:ascii="Times New Roman" w:hAnsi="Times New Roman" w:cs="Times New Roman"/>
          <w:b/>
          <w:bCs/>
          <w:color w:val="000000" w:themeColor="text1"/>
          <w:sz w:val="24"/>
          <w:szCs w:val="24"/>
        </w:rPr>
        <w:t>Constitutive dynamics of law in sustainable finance</w:t>
      </w:r>
      <w:bookmarkEnd w:id="1"/>
    </w:p>
    <w:p w14:paraId="2B6A7C0F" w14:textId="4B7C1203"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That </w:t>
      </w:r>
      <w:r w:rsidR="00326159">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law shapes and co-constitutes finance, including sustainable finance, is not self-evident. In fact, </w:t>
      </w:r>
      <w:r w:rsidR="00326159">
        <w:rPr>
          <w:rFonts w:ascii="Times New Roman" w:hAnsi="Times New Roman" w:cs="Times New Roman"/>
          <w:color w:val="000000" w:themeColor="text1"/>
        </w:rPr>
        <w:t>much</w:t>
      </w:r>
      <w:r w:rsidRPr="00637861">
        <w:rPr>
          <w:rFonts w:ascii="Times New Roman" w:hAnsi="Times New Roman" w:cs="Times New Roman"/>
          <w:color w:val="000000" w:themeColor="text1"/>
        </w:rPr>
        <w:t xml:space="preserve"> of </w:t>
      </w:r>
      <w:r w:rsidR="00326159">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existing sustainable finance </w:t>
      </w:r>
      <w:r w:rsidR="00326159">
        <w:rPr>
          <w:rFonts w:ascii="Times New Roman" w:hAnsi="Times New Roman" w:cs="Times New Roman"/>
          <w:color w:val="000000" w:themeColor="text1"/>
        </w:rPr>
        <w:t>literature</w:t>
      </w:r>
      <w:r w:rsidR="00326159"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treats law as epiphenomenal to the interests and practices of market actors or </w:t>
      </w:r>
      <w:r w:rsidR="00326159">
        <w:rPr>
          <w:rFonts w:ascii="Times New Roman" w:hAnsi="Times New Roman" w:cs="Times New Roman"/>
          <w:color w:val="000000" w:themeColor="text1"/>
        </w:rPr>
        <w:t xml:space="preserve">as </w:t>
      </w:r>
      <w:r w:rsidRPr="00637861">
        <w:rPr>
          <w:rFonts w:ascii="Times New Roman" w:hAnsi="Times New Roman" w:cs="Times New Roman"/>
          <w:color w:val="000000" w:themeColor="text1"/>
        </w:rPr>
        <w:t>an expression of the political preferences of the strongest players.</w:t>
      </w:r>
      <w:r w:rsidRPr="00637861">
        <w:rPr>
          <w:rStyle w:val="Odwoanieprzypisudolnego"/>
          <w:rFonts w:ascii="Times New Roman" w:hAnsi="Times New Roman" w:cs="Times New Roman"/>
          <w:color w:val="000000" w:themeColor="text1"/>
        </w:rPr>
        <w:footnoteReference w:id="34"/>
      </w:r>
      <w:r w:rsidRPr="00637861">
        <w:rPr>
          <w:rFonts w:ascii="Times New Roman" w:hAnsi="Times New Roman" w:cs="Times New Roman"/>
          <w:color w:val="000000" w:themeColor="text1"/>
        </w:rPr>
        <w:t xml:space="preserve"> Such perspectives are revealing of political economy dynamics. However, by overlooking the legal environment dimension, they also limit the potential of legal coding as a vehicle </w:t>
      </w:r>
      <w:r w:rsidR="00326159">
        <w:rPr>
          <w:rFonts w:ascii="Times New Roman" w:hAnsi="Times New Roman" w:cs="Times New Roman"/>
          <w:color w:val="000000" w:themeColor="text1"/>
        </w:rPr>
        <w:t xml:space="preserve">for </w:t>
      </w:r>
      <w:r w:rsidRPr="00637861">
        <w:rPr>
          <w:rFonts w:ascii="Times New Roman" w:hAnsi="Times New Roman" w:cs="Times New Roman"/>
          <w:color w:val="000000" w:themeColor="text1"/>
        </w:rPr>
        <w:t xml:space="preserve">change. </w:t>
      </w:r>
      <w:r w:rsidR="005F423D">
        <w:rPr>
          <w:rFonts w:ascii="Times New Roman" w:hAnsi="Times New Roman" w:cs="Times New Roman"/>
          <w:color w:val="000000" w:themeColor="text1"/>
        </w:rPr>
        <w:t>E</w:t>
      </w:r>
      <w:r w:rsidRPr="00637861">
        <w:rPr>
          <w:rFonts w:ascii="Times New Roman" w:hAnsi="Times New Roman" w:cs="Times New Roman"/>
          <w:color w:val="000000" w:themeColor="text1"/>
        </w:rPr>
        <w:t>ntering in</w:t>
      </w:r>
      <w:r w:rsidR="0042278D">
        <w:rPr>
          <w:rFonts w:ascii="Times New Roman" w:hAnsi="Times New Roman" w:cs="Times New Roman"/>
          <w:color w:val="000000" w:themeColor="text1"/>
        </w:rPr>
        <w:t>to</w:t>
      </w:r>
      <w:r w:rsidRPr="00637861">
        <w:rPr>
          <w:rFonts w:ascii="Times New Roman" w:hAnsi="Times New Roman" w:cs="Times New Roman"/>
          <w:color w:val="000000" w:themeColor="text1"/>
        </w:rPr>
        <w:t xml:space="preserve"> a dialogue with this sceptical perspective offers an avenue to explore what </w:t>
      </w:r>
      <w:r w:rsidR="0042278D">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law is</w:t>
      </w:r>
      <w:r w:rsidR="0042278D">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w:t>
      </w:r>
      <w:r w:rsidR="0042278D">
        <w:rPr>
          <w:rFonts w:ascii="Times New Roman" w:hAnsi="Times New Roman" w:cs="Times New Roman"/>
          <w:color w:val="000000" w:themeColor="text1"/>
        </w:rPr>
        <w:t>how the</w:t>
      </w:r>
      <w:r w:rsidRPr="00637861">
        <w:rPr>
          <w:rFonts w:ascii="Times New Roman" w:hAnsi="Times New Roman" w:cs="Times New Roman"/>
          <w:color w:val="000000" w:themeColor="text1"/>
        </w:rPr>
        <w:t xml:space="preserve"> law may be co-constitutive of the economy and where specific features of </w:t>
      </w:r>
      <w:r w:rsidR="0042278D">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law </w:t>
      </w:r>
      <w:r w:rsidR="0042278D" w:rsidRPr="00637861">
        <w:rPr>
          <w:rFonts w:ascii="Times New Roman" w:hAnsi="Times New Roman" w:cs="Times New Roman"/>
          <w:color w:val="000000" w:themeColor="text1"/>
        </w:rPr>
        <w:t>preconfigure market interactions</w:t>
      </w:r>
      <w:r w:rsidR="0042278D">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such as how the legal terms distribute risk and reward. </w:t>
      </w:r>
    </w:p>
    <w:p w14:paraId="1BE9445B" w14:textId="641C83FC"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The existing sustainable finance law is largely composed of mandatory corporate governance (disclosure) and financial regulation, in addition to the emerging transnational and private law rules.</w:t>
      </w:r>
      <w:r w:rsidRPr="00637861">
        <w:rPr>
          <w:rStyle w:val="Odwoanieprzypisudolnego"/>
          <w:rFonts w:ascii="Times New Roman" w:hAnsi="Times New Roman" w:cs="Times New Roman"/>
          <w:color w:val="000000" w:themeColor="text1"/>
        </w:rPr>
        <w:footnoteReference w:id="35"/>
      </w:r>
      <w:r w:rsidRPr="00637861">
        <w:rPr>
          <w:rFonts w:ascii="Times New Roman" w:hAnsi="Times New Roman" w:cs="Times New Roman"/>
          <w:color w:val="000000" w:themeColor="text1"/>
        </w:rPr>
        <w:t xml:space="preserve"> A legal institutionalist </w:t>
      </w:r>
      <w:r w:rsidR="0042278D">
        <w:rPr>
          <w:rFonts w:ascii="Times New Roman" w:hAnsi="Times New Roman" w:cs="Times New Roman"/>
          <w:color w:val="000000" w:themeColor="text1"/>
        </w:rPr>
        <w:t>perspective</w:t>
      </w:r>
      <w:r w:rsidR="0042278D"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draws our attention to how these </w:t>
      </w:r>
      <w:r w:rsidR="0042278D">
        <w:rPr>
          <w:rFonts w:ascii="Times New Roman" w:hAnsi="Times New Roman" w:cs="Times New Roman"/>
          <w:color w:val="000000" w:themeColor="text1"/>
        </w:rPr>
        <w:t xml:space="preserve">aspects </w:t>
      </w:r>
      <w:r w:rsidRPr="00637861">
        <w:rPr>
          <w:rFonts w:ascii="Times New Roman" w:hAnsi="Times New Roman" w:cs="Times New Roman"/>
          <w:color w:val="000000" w:themeColor="text1"/>
        </w:rPr>
        <w:t xml:space="preserve">‘code’ </w:t>
      </w:r>
      <w:r w:rsidR="0036605B">
        <w:rPr>
          <w:rFonts w:ascii="Times New Roman" w:hAnsi="Times New Roman" w:cs="Times New Roman"/>
          <w:color w:val="000000" w:themeColor="text1"/>
        </w:rPr>
        <w:t xml:space="preserve">or ‘encase’ </w:t>
      </w:r>
      <w:r w:rsidRPr="00637861">
        <w:rPr>
          <w:rFonts w:ascii="Times New Roman" w:hAnsi="Times New Roman" w:cs="Times New Roman"/>
          <w:color w:val="000000" w:themeColor="text1"/>
        </w:rPr>
        <w:t xml:space="preserve">specific types of power </w:t>
      </w:r>
      <w:r w:rsidRPr="00637861">
        <w:rPr>
          <w:rFonts w:ascii="Times New Roman" w:hAnsi="Times New Roman" w:cs="Times New Roman"/>
          <w:color w:val="000000" w:themeColor="text1"/>
        </w:rPr>
        <w:lastRenderedPageBreak/>
        <w:t>relationships, values and inequalities.</w:t>
      </w:r>
      <w:r w:rsidRPr="00637861">
        <w:rPr>
          <w:rStyle w:val="Odwoanieprzypisudolnego"/>
          <w:rFonts w:ascii="Times New Roman" w:hAnsi="Times New Roman" w:cs="Times New Roman"/>
          <w:color w:val="000000" w:themeColor="text1"/>
        </w:rPr>
        <w:footnoteReference w:id="36"/>
      </w:r>
      <w:r w:rsidRPr="00637861">
        <w:rPr>
          <w:rFonts w:ascii="Times New Roman" w:hAnsi="Times New Roman" w:cs="Times New Roman"/>
          <w:color w:val="000000" w:themeColor="text1"/>
        </w:rPr>
        <w:t xml:space="preserve"> Here the law constitutes market interactions in the sense that it preconfigures and gives form to financial relationships.</w:t>
      </w:r>
      <w:r w:rsidRPr="00637861">
        <w:rPr>
          <w:rStyle w:val="Odwoanieprzypisudolnego"/>
          <w:rFonts w:ascii="Times New Roman" w:hAnsi="Times New Roman" w:cs="Times New Roman"/>
          <w:color w:val="000000" w:themeColor="text1"/>
        </w:rPr>
        <w:footnoteReference w:id="37"/>
      </w:r>
      <w:r w:rsidRPr="00637861">
        <w:rPr>
          <w:rFonts w:ascii="Times New Roman" w:hAnsi="Times New Roman" w:cs="Times New Roman"/>
          <w:color w:val="000000" w:themeColor="text1"/>
        </w:rPr>
        <w:t xml:space="preserve"> Specific legal modules</w:t>
      </w:r>
      <w:r w:rsidR="0042278D">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such as contract, property or company law</w:t>
      </w:r>
      <w:r w:rsidR="0042278D">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distribute risk and reward and structure the interaction between actors over time (e.g. via monitoring and reporting obligations).</w:t>
      </w:r>
      <w:r w:rsidR="00947A4C">
        <w:rPr>
          <w:rFonts w:ascii="Times New Roman" w:hAnsi="Times New Roman" w:cs="Times New Roman"/>
          <w:color w:val="000000" w:themeColor="text1"/>
        </w:rPr>
        <w:t xml:space="preserve"> For example, </w:t>
      </w:r>
      <w:r w:rsidR="00D90594">
        <w:rPr>
          <w:rFonts w:ascii="Times New Roman" w:hAnsi="Times New Roman" w:cs="Times New Roman"/>
          <w:color w:val="000000" w:themeColor="text1"/>
        </w:rPr>
        <w:t>contract law may shift the downside risks to weaker parties (e.g. via limitation of liability clauses), while prop</w:t>
      </w:r>
      <w:r w:rsidR="00C71974">
        <w:rPr>
          <w:rFonts w:ascii="Times New Roman" w:hAnsi="Times New Roman" w:cs="Times New Roman"/>
          <w:color w:val="000000" w:themeColor="text1"/>
        </w:rPr>
        <w:t xml:space="preserve">erty law </w:t>
      </w:r>
      <w:r w:rsidR="006869B3">
        <w:rPr>
          <w:rFonts w:ascii="Times New Roman" w:hAnsi="Times New Roman" w:cs="Times New Roman"/>
          <w:color w:val="000000" w:themeColor="text1"/>
        </w:rPr>
        <w:t xml:space="preserve">may </w:t>
      </w:r>
      <w:r w:rsidR="00694B9F">
        <w:rPr>
          <w:rFonts w:ascii="Times New Roman" w:hAnsi="Times New Roman" w:cs="Times New Roman"/>
          <w:color w:val="000000" w:themeColor="text1"/>
        </w:rPr>
        <w:t xml:space="preserve">elevate the claims of specific owners </w:t>
      </w:r>
      <w:r w:rsidR="006869B3">
        <w:rPr>
          <w:rFonts w:ascii="Times New Roman" w:hAnsi="Times New Roman" w:cs="Times New Roman"/>
          <w:color w:val="000000" w:themeColor="text1"/>
        </w:rPr>
        <w:t>insulating them from losses (e.g. via priority claims).</w:t>
      </w:r>
      <w:r w:rsidRPr="00637861">
        <w:rPr>
          <w:rFonts w:ascii="Times New Roman" w:hAnsi="Times New Roman" w:cs="Times New Roman"/>
          <w:color w:val="000000" w:themeColor="text1"/>
        </w:rPr>
        <w:t xml:space="preserve"> The ‘legal encasing’ of specific economic rationalities – such as those that silo economic and environmental realities – through deploy</w:t>
      </w:r>
      <w:r w:rsidR="0042278D">
        <w:rPr>
          <w:rFonts w:ascii="Times New Roman" w:hAnsi="Times New Roman" w:cs="Times New Roman"/>
          <w:color w:val="000000" w:themeColor="text1"/>
        </w:rPr>
        <w:t>ing</w:t>
      </w:r>
      <w:r w:rsidRPr="00637861">
        <w:rPr>
          <w:rFonts w:ascii="Times New Roman" w:hAnsi="Times New Roman" w:cs="Times New Roman"/>
          <w:color w:val="000000" w:themeColor="text1"/>
        </w:rPr>
        <w:t xml:space="preserve"> legal concepts, </w:t>
      </w:r>
      <w:r w:rsidR="0042278D">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role of lawyering and modes of legal enforcement, limits the possible market ordering alternatives within a particular jurisdiction.</w:t>
      </w:r>
      <w:r w:rsidRPr="00637861">
        <w:rPr>
          <w:rStyle w:val="Odwoanieprzypisudolnego"/>
          <w:rFonts w:ascii="Times New Roman" w:hAnsi="Times New Roman" w:cs="Times New Roman"/>
          <w:color w:val="000000" w:themeColor="text1"/>
        </w:rPr>
        <w:footnoteReference w:id="38"/>
      </w:r>
      <w:r w:rsidRPr="00637861">
        <w:rPr>
          <w:rFonts w:ascii="Times New Roman" w:hAnsi="Times New Roman" w:cs="Times New Roman"/>
          <w:color w:val="000000" w:themeColor="text1"/>
        </w:rPr>
        <w:t xml:space="preserve"> </w:t>
      </w:r>
      <w:r w:rsidR="00061F06">
        <w:rPr>
          <w:rFonts w:ascii="Times New Roman" w:hAnsi="Times New Roman" w:cs="Times New Roman"/>
          <w:color w:val="000000" w:themeColor="text1"/>
        </w:rPr>
        <w:t>As</w:t>
      </w:r>
      <w:r w:rsidR="003A1A6E">
        <w:rPr>
          <w:rFonts w:ascii="Times New Roman" w:hAnsi="Times New Roman" w:cs="Times New Roman"/>
          <w:color w:val="000000" w:themeColor="text1"/>
        </w:rPr>
        <w:t xml:space="preserve"> Lang </w:t>
      </w:r>
      <w:r w:rsidR="00111157">
        <w:rPr>
          <w:rFonts w:ascii="Times New Roman" w:hAnsi="Times New Roman" w:cs="Times New Roman"/>
          <w:color w:val="000000" w:themeColor="text1"/>
        </w:rPr>
        <w:t>proposes</w:t>
      </w:r>
      <w:r w:rsidR="00E953F3">
        <w:rPr>
          <w:rFonts w:ascii="Times New Roman" w:hAnsi="Times New Roman" w:cs="Times New Roman"/>
          <w:color w:val="000000" w:themeColor="text1"/>
        </w:rPr>
        <w:t>,</w:t>
      </w:r>
      <w:r w:rsidR="00111157">
        <w:rPr>
          <w:rFonts w:ascii="Times New Roman" w:hAnsi="Times New Roman" w:cs="Times New Roman"/>
          <w:color w:val="000000" w:themeColor="text1"/>
        </w:rPr>
        <w:t xml:space="preserve"> </w:t>
      </w:r>
      <w:r w:rsidR="000A779B">
        <w:rPr>
          <w:rFonts w:ascii="Times New Roman" w:hAnsi="Times New Roman" w:cs="Times New Roman"/>
          <w:color w:val="000000" w:themeColor="text1"/>
        </w:rPr>
        <w:t xml:space="preserve">law and legal practices </w:t>
      </w:r>
      <w:r w:rsidR="00E953F3">
        <w:rPr>
          <w:rFonts w:ascii="Times New Roman" w:hAnsi="Times New Roman" w:cs="Times New Roman"/>
          <w:color w:val="000000" w:themeColor="text1"/>
        </w:rPr>
        <w:t>may in different ways be part of</w:t>
      </w:r>
      <w:r w:rsidR="000A779B">
        <w:rPr>
          <w:rFonts w:ascii="Times New Roman" w:hAnsi="Times New Roman" w:cs="Times New Roman"/>
          <w:color w:val="000000" w:themeColor="text1"/>
        </w:rPr>
        <w:t xml:space="preserve"> the</w:t>
      </w:r>
      <w:r w:rsidR="003A1A6E">
        <w:rPr>
          <w:rFonts w:ascii="Times New Roman" w:hAnsi="Times New Roman" w:cs="Times New Roman"/>
          <w:color w:val="000000" w:themeColor="text1"/>
        </w:rPr>
        <w:t xml:space="preserve"> cognitive infrastructures of modern markets</w:t>
      </w:r>
      <w:r w:rsidR="000A779B">
        <w:rPr>
          <w:rFonts w:ascii="Times New Roman" w:hAnsi="Times New Roman" w:cs="Times New Roman"/>
          <w:color w:val="000000" w:themeColor="text1"/>
        </w:rPr>
        <w:t xml:space="preserve">, that </w:t>
      </w:r>
      <w:r w:rsidR="000C0A3F">
        <w:rPr>
          <w:rFonts w:ascii="Times New Roman" w:hAnsi="Times New Roman" w:cs="Times New Roman"/>
          <w:color w:val="000000" w:themeColor="text1"/>
        </w:rPr>
        <w:t>inform behaviour</w:t>
      </w:r>
      <w:r w:rsidR="008A5411">
        <w:rPr>
          <w:rFonts w:ascii="Times New Roman" w:hAnsi="Times New Roman" w:cs="Times New Roman"/>
          <w:color w:val="000000" w:themeColor="text1"/>
        </w:rPr>
        <w:t xml:space="preserve"> and </w:t>
      </w:r>
      <w:r w:rsidR="0099133D">
        <w:rPr>
          <w:rFonts w:ascii="Times New Roman" w:hAnsi="Times New Roman" w:cs="Times New Roman"/>
          <w:color w:val="000000" w:themeColor="text1"/>
        </w:rPr>
        <w:t xml:space="preserve">are social in the sense they are shared, </w:t>
      </w:r>
      <w:r w:rsidR="00C53A51">
        <w:rPr>
          <w:rFonts w:ascii="Times New Roman" w:hAnsi="Times New Roman" w:cs="Times New Roman"/>
          <w:color w:val="000000" w:themeColor="text1"/>
        </w:rPr>
        <w:t xml:space="preserve">collectively produced and </w:t>
      </w:r>
      <w:r w:rsidR="003D4C99">
        <w:rPr>
          <w:rFonts w:ascii="Times New Roman" w:hAnsi="Times New Roman" w:cs="Times New Roman"/>
          <w:color w:val="000000" w:themeColor="text1"/>
        </w:rPr>
        <w:t>embedded.</w:t>
      </w:r>
      <w:r w:rsidR="00B63340">
        <w:rPr>
          <w:rStyle w:val="Odwoanieprzypisudolnego"/>
          <w:rFonts w:ascii="Times New Roman" w:hAnsi="Times New Roman" w:cs="Times New Roman"/>
          <w:color w:val="000000" w:themeColor="text1"/>
        </w:rPr>
        <w:footnoteReference w:id="39"/>
      </w:r>
      <w:r w:rsidR="003D4C99">
        <w:rPr>
          <w:rFonts w:ascii="Times New Roman" w:hAnsi="Times New Roman" w:cs="Times New Roman"/>
          <w:color w:val="000000" w:themeColor="text1"/>
        </w:rPr>
        <w:t xml:space="preserve"> </w:t>
      </w:r>
    </w:p>
    <w:p w14:paraId="600D1E97" w14:textId="3F839310"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There are different aspects of such legal coding that can be captured by considering the different aspects of the legal environment </w:t>
      </w:r>
      <w:r w:rsidR="00AC0F04">
        <w:rPr>
          <w:rFonts w:ascii="Times New Roman" w:hAnsi="Times New Roman" w:cs="Times New Roman"/>
          <w:color w:val="000000" w:themeColor="text1"/>
        </w:rPr>
        <w:t xml:space="preserve">as </w:t>
      </w:r>
      <w:r w:rsidRPr="00637861">
        <w:rPr>
          <w:rFonts w:ascii="Times New Roman" w:hAnsi="Times New Roman" w:cs="Times New Roman"/>
          <w:color w:val="000000" w:themeColor="text1"/>
        </w:rPr>
        <w:t xml:space="preserve">proposed by Edelman and </w:t>
      </w:r>
      <w:proofErr w:type="spellStart"/>
      <w:r w:rsidRPr="00637861">
        <w:rPr>
          <w:rFonts w:ascii="Times New Roman" w:hAnsi="Times New Roman" w:cs="Times New Roman"/>
          <w:color w:val="000000" w:themeColor="text1"/>
        </w:rPr>
        <w:t>Suchman</w:t>
      </w:r>
      <w:proofErr w:type="spellEnd"/>
      <w:r w:rsidR="00AC0F04">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who have differentiate</w:t>
      </w:r>
      <w:r w:rsidR="0007473B" w:rsidRPr="00637861">
        <w:rPr>
          <w:rFonts w:ascii="Times New Roman" w:hAnsi="Times New Roman" w:cs="Times New Roman"/>
          <w:color w:val="000000" w:themeColor="text1"/>
        </w:rPr>
        <w:t>d</w:t>
      </w:r>
      <w:r w:rsidRPr="00637861">
        <w:rPr>
          <w:rFonts w:ascii="Times New Roman" w:hAnsi="Times New Roman" w:cs="Times New Roman"/>
          <w:color w:val="000000" w:themeColor="text1"/>
        </w:rPr>
        <w:t xml:space="preserve"> between those aspects that are regulatory (in the sense of introducing a mandatory set of behaviours), facilitative (in the sense of setting the terms of interaction between actors) and constitutive (in the sense of introducing legal forms and categories).</w:t>
      </w:r>
      <w:r w:rsidRPr="00637861">
        <w:rPr>
          <w:rStyle w:val="Odwoanieprzypisudolnego"/>
          <w:rFonts w:ascii="Times New Roman" w:hAnsi="Times New Roman" w:cs="Times New Roman"/>
          <w:color w:val="000000" w:themeColor="text1"/>
        </w:rPr>
        <w:footnoteReference w:id="40"/>
      </w:r>
      <w:r w:rsidRPr="00637861">
        <w:rPr>
          <w:rFonts w:ascii="Times New Roman" w:hAnsi="Times New Roman" w:cs="Times New Roman"/>
          <w:color w:val="000000" w:themeColor="text1"/>
        </w:rPr>
        <w:t xml:space="preserve"> All three of these aspects relate to how law may be (co)constitutive of the financial outcomes, by creating a common framework for institutional interactions. They are also deeply intertwined with each other.</w:t>
      </w:r>
      <w:r w:rsidRPr="00637861">
        <w:rPr>
          <w:rStyle w:val="Odwoanieprzypisudolnego"/>
          <w:rFonts w:ascii="Times New Roman" w:hAnsi="Times New Roman" w:cs="Times New Roman"/>
          <w:color w:val="000000" w:themeColor="text1"/>
        </w:rPr>
        <w:footnoteReference w:id="41"/>
      </w:r>
      <w:r w:rsidRPr="00637861">
        <w:rPr>
          <w:rFonts w:ascii="Times New Roman" w:hAnsi="Times New Roman" w:cs="Times New Roman"/>
          <w:color w:val="000000" w:themeColor="text1"/>
        </w:rPr>
        <w:t xml:space="preserve"> </w:t>
      </w:r>
      <w:r w:rsidR="00507B30">
        <w:rPr>
          <w:rFonts w:ascii="Times New Roman" w:hAnsi="Times New Roman" w:cs="Times New Roman"/>
          <w:color w:val="000000" w:themeColor="text1"/>
        </w:rPr>
        <w:t>F</w:t>
      </w:r>
      <w:r w:rsidRPr="00637861">
        <w:rPr>
          <w:rFonts w:ascii="Times New Roman" w:hAnsi="Times New Roman" w:cs="Times New Roman"/>
          <w:color w:val="000000" w:themeColor="text1"/>
        </w:rPr>
        <w:t>rom an analytical perspective, this framework offers an elegant way to disentangle the salience of the different types of legal and other governance rules and their relationship to market practice and outcomes.</w:t>
      </w:r>
    </w:p>
    <w:p w14:paraId="57382AB5" w14:textId="5DB9A814"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lastRenderedPageBreak/>
        <w:t>In addition to differentiating between the aspects of the legal environment of green bonds, as suggested above, sustainable finance instruments</w:t>
      </w:r>
      <w:r w:rsidR="00AC0F04">
        <w:rPr>
          <w:rFonts w:ascii="Times New Roman" w:hAnsi="Times New Roman" w:cs="Times New Roman"/>
          <w:color w:val="000000" w:themeColor="text1"/>
        </w:rPr>
        <w:t xml:space="preserve"> –</w:t>
      </w:r>
      <w:r w:rsidR="00AC0F04"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as defined by the international </w:t>
      </w:r>
      <w:r w:rsidR="00AC0F04" w:rsidRPr="00637861">
        <w:rPr>
          <w:rFonts w:ascii="Times New Roman" w:hAnsi="Times New Roman" w:cs="Times New Roman"/>
          <w:color w:val="000000" w:themeColor="text1"/>
        </w:rPr>
        <w:t>standard</w:t>
      </w:r>
      <w:r w:rsidR="00AC0F04">
        <w:rPr>
          <w:rFonts w:ascii="Times New Roman" w:hAnsi="Times New Roman" w:cs="Times New Roman"/>
          <w:color w:val="000000" w:themeColor="text1"/>
        </w:rPr>
        <w:t>-</w:t>
      </w:r>
      <w:r w:rsidRPr="00637861">
        <w:rPr>
          <w:rFonts w:ascii="Times New Roman" w:hAnsi="Times New Roman" w:cs="Times New Roman"/>
          <w:color w:val="000000" w:themeColor="text1"/>
        </w:rPr>
        <w:t>setters and EU legislation outlined above</w:t>
      </w:r>
      <w:r w:rsidR="00AC0F04">
        <w:rPr>
          <w:rFonts w:ascii="Times New Roman" w:hAnsi="Times New Roman" w:cs="Times New Roman"/>
          <w:color w:val="000000" w:themeColor="text1"/>
        </w:rPr>
        <w:t xml:space="preserve"> –</w:t>
      </w:r>
      <w:r w:rsidR="00AC0F04"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draw our attention to the pre-contractual and post-contractual contexts that shape firm</w:t>
      </w:r>
      <w:r w:rsidR="00AC0F04">
        <w:rPr>
          <w:rFonts w:ascii="Times New Roman" w:hAnsi="Times New Roman" w:cs="Times New Roman"/>
          <w:color w:val="000000" w:themeColor="text1"/>
        </w:rPr>
        <w:t>s’</w:t>
      </w:r>
      <w:r w:rsidR="0007473B"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financing choices.</w:t>
      </w:r>
      <w:r w:rsidRPr="00637861">
        <w:rPr>
          <w:rStyle w:val="Odwoanieprzypisudolnego"/>
          <w:rFonts w:ascii="Times New Roman" w:hAnsi="Times New Roman" w:cs="Times New Roman"/>
          <w:color w:val="000000" w:themeColor="text1"/>
        </w:rPr>
        <w:footnoteReference w:id="42"/>
      </w:r>
      <w:r w:rsidRPr="00637861">
        <w:rPr>
          <w:rFonts w:ascii="Times New Roman" w:hAnsi="Times New Roman" w:cs="Times New Roman"/>
          <w:color w:val="000000" w:themeColor="text1"/>
        </w:rPr>
        <w:t xml:space="preserve"> To capture </w:t>
      </w:r>
      <w:r w:rsidR="008A0658">
        <w:rPr>
          <w:rFonts w:ascii="Times New Roman" w:hAnsi="Times New Roman" w:cs="Times New Roman"/>
          <w:color w:val="000000" w:themeColor="text1"/>
        </w:rPr>
        <w:t>how these contexts</w:t>
      </w:r>
      <w:r w:rsidRPr="00637861">
        <w:rPr>
          <w:rFonts w:ascii="Times New Roman" w:hAnsi="Times New Roman" w:cs="Times New Roman"/>
          <w:color w:val="000000" w:themeColor="text1"/>
        </w:rPr>
        <w:t xml:space="preserve"> differ</w:t>
      </w:r>
      <w:r w:rsidR="008A0658">
        <w:rPr>
          <w:rFonts w:ascii="Times New Roman" w:hAnsi="Times New Roman" w:cs="Times New Roman"/>
          <w:color w:val="000000" w:themeColor="text1"/>
        </w:rPr>
        <w:t xml:space="preserve"> from traditional finance</w:t>
      </w:r>
      <w:r w:rsidRPr="00637861">
        <w:rPr>
          <w:rFonts w:ascii="Times New Roman" w:hAnsi="Times New Roman" w:cs="Times New Roman"/>
          <w:color w:val="000000" w:themeColor="text1"/>
        </w:rPr>
        <w:t xml:space="preserve">, I </w:t>
      </w:r>
      <w:r w:rsidR="0007473B" w:rsidRPr="00637861">
        <w:rPr>
          <w:rFonts w:ascii="Times New Roman" w:hAnsi="Times New Roman" w:cs="Times New Roman"/>
          <w:color w:val="000000" w:themeColor="text1"/>
        </w:rPr>
        <w:t>analyse</w:t>
      </w:r>
      <w:r w:rsidRPr="00637861">
        <w:rPr>
          <w:rFonts w:ascii="Times New Roman" w:hAnsi="Times New Roman" w:cs="Times New Roman"/>
          <w:color w:val="000000" w:themeColor="text1"/>
        </w:rPr>
        <w:t xml:space="preserve"> green bonds across three phases of the financial instrument lifecycle: negotiation, contracting and enforcement, with the latter category spanning monitoring, marketing and public oversight. Seeing sustainable finance law </w:t>
      </w:r>
      <w:r w:rsidR="00AC0F04">
        <w:rPr>
          <w:rFonts w:ascii="Times New Roman" w:hAnsi="Times New Roman" w:cs="Times New Roman"/>
          <w:color w:val="000000" w:themeColor="text1"/>
        </w:rPr>
        <w:t>over</w:t>
      </w:r>
      <w:r w:rsidR="00AC0F04"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time allows to explore how the different aspects of the legal environment shape and sustain specific forms of (extractive) capitalism centred on profit and logics of accumulation. In addition, </w:t>
      </w:r>
      <w:r w:rsidR="00AC0F04">
        <w:rPr>
          <w:rFonts w:ascii="Times New Roman" w:hAnsi="Times New Roman" w:cs="Times New Roman"/>
          <w:color w:val="000000" w:themeColor="text1"/>
        </w:rPr>
        <w:t xml:space="preserve">an </w:t>
      </w:r>
      <w:r w:rsidRPr="00637861">
        <w:rPr>
          <w:rFonts w:ascii="Times New Roman" w:hAnsi="Times New Roman" w:cs="Times New Roman"/>
          <w:color w:val="000000" w:themeColor="text1"/>
        </w:rPr>
        <w:t xml:space="preserve">extended temporal </w:t>
      </w:r>
      <w:r w:rsidR="00AC0F04">
        <w:rPr>
          <w:rFonts w:ascii="Times New Roman" w:hAnsi="Times New Roman" w:cs="Times New Roman"/>
          <w:color w:val="000000" w:themeColor="text1"/>
        </w:rPr>
        <w:t>view</w:t>
      </w:r>
      <w:r w:rsidR="00AC0F04" w:rsidRPr="00637861">
        <w:rPr>
          <w:rFonts w:ascii="Times New Roman" w:hAnsi="Times New Roman" w:cs="Times New Roman"/>
          <w:color w:val="000000" w:themeColor="text1"/>
        </w:rPr>
        <w:t xml:space="preserve"> </w:t>
      </w:r>
      <w:r w:rsidR="00AC0F04">
        <w:rPr>
          <w:rFonts w:ascii="Times New Roman" w:hAnsi="Times New Roman" w:cs="Times New Roman"/>
          <w:color w:val="000000" w:themeColor="text1"/>
        </w:rPr>
        <w:t>can</w:t>
      </w:r>
      <w:r w:rsidRPr="00637861">
        <w:rPr>
          <w:rFonts w:ascii="Times New Roman" w:hAnsi="Times New Roman" w:cs="Times New Roman"/>
          <w:color w:val="000000" w:themeColor="text1"/>
        </w:rPr>
        <w:t xml:space="preserve"> </w:t>
      </w:r>
      <w:r w:rsidR="00AC0F04">
        <w:rPr>
          <w:rFonts w:ascii="Times New Roman" w:hAnsi="Times New Roman" w:cs="Times New Roman"/>
          <w:color w:val="000000" w:themeColor="text1"/>
        </w:rPr>
        <w:t xml:space="preserve">more inclusively </w:t>
      </w:r>
      <w:r w:rsidRPr="00637861">
        <w:rPr>
          <w:rFonts w:ascii="Times New Roman" w:hAnsi="Times New Roman" w:cs="Times New Roman"/>
          <w:color w:val="000000" w:themeColor="text1"/>
        </w:rPr>
        <w:t>capture not only the legal coding of green finance</w:t>
      </w:r>
      <w:r w:rsidR="00AC0F04">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but also how intermediaries and non-legal professionals facilitate legal endogeneity</w:t>
      </w:r>
      <w:r w:rsidR="00DB195F">
        <w:rPr>
          <w:rFonts w:ascii="Times New Roman" w:hAnsi="Times New Roman" w:cs="Times New Roman"/>
          <w:color w:val="000000" w:themeColor="text1"/>
        </w:rPr>
        <w:t xml:space="preserve">, that is how </w:t>
      </w:r>
      <w:r w:rsidR="00106FEC">
        <w:rPr>
          <w:rFonts w:ascii="Times New Roman" w:hAnsi="Times New Roman" w:cs="Times New Roman"/>
          <w:color w:val="000000" w:themeColor="text1"/>
        </w:rPr>
        <w:t>legal provisions become law in action</w:t>
      </w:r>
      <w:r w:rsidRPr="00637861">
        <w:rPr>
          <w:rFonts w:ascii="Times New Roman" w:hAnsi="Times New Roman" w:cs="Times New Roman"/>
          <w:color w:val="000000" w:themeColor="text1"/>
        </w:rPr>
        <w:t>.</w:t>
      </w:r>
      <w:r w:rsidRPr="00637861">
        <w:rPr>
          <w:rStyle w:val="Odwoanieprzypisudolnego"/>
          <w:rFonts w:ascii="Times New Roman" w:hAnsi="Times New Roman" w:cs="Times New Roman"/>
          <w:color w:val="000000" w:themeColor="text1"/>
        </w:rPr>
        <w:footnoteReference w:id="43"/>
      </w:r>
      <w:r w:rsidRPr="00637861">
        <w:rPr>
          <w:rFonts w:ascii="Times New Roman" w:hAnsi="Times New Roman" w:cs="Times New Roman"/>
          <w:color w:val="000000" w:themeColor="text1"/>
        </w:rPr>
        <w:t xml:space="preserve">  </w:t>
      </w:r>
    </w:p>
    <w:p w14:paraId="62BF9A9B" w14:textId="62FD7B90"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The analytical perspective, </w:t>
      </w:r>
      <w:r w:rsidR="00AC0F04">
        <w:rPr>
          <w:rFonts w:ascii="Times New Roman" w:hAnsi="Times New Roman" w:cs="Times New Roman"/>
          <w:color w:val="000000" w:themeColor="text1"/>
        </w:rPr>
        <w:t xml:space="preserve">which is </w:t>
      </w:r>
      <w:r w:rsidRPr="00637861">
        <w:rPr>
          <w:rFonts w:ascii="Times New Roman" w:hAnsi="Times New Roman" w:cs="Times New Roman"/>
          <w:color w:val="000000" w:themeColor="text1"/>
        </w:rPr>
        <w:t xml:space="preserve">summarised in Table 2, builds on other explorations of </w:t>
      </w:r>
      <w:r w:rsidR="00AC0F04">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transformative potential of law,</w:t>
      </w:r>
      <w:r w:rsidRPr="00637861">
        <w:rPr>
          <w:rStyle w:val="Odwoanieprzypisudolnego"/>
          <w:rFonts w:ascii="Times New Roman" w:hAnsi="Times New Roman" w:cs="Times New Roman"/>
          <w:color w:val="000000" w:themeColor="text1"/>
        </w:rPr>
        <w:footnoteReference w:id="44"/>
      </w:r>
      <w:r w:rsidRPr="00637861">
        <w:rPr>
          <w:rFonts w:ascii="Times New Roman" w:hAnsi="Times New Roman" w:cs="Times New Roman"/>
          <w:color w:val="000000" w:themeColor="text1"/>
        </w:rPr>
        <w:t xml:space="preserve"> in that in addition to the immediate function of law, it </w:t>
      </w:r>
      <w:r w:rsidR="00AC0F04">
        <w:rPr>
          <w:rFonts w:ascii="Times New Roman" w:hAnsi="Times New Roman" w:cs="Times New Roman"/>
          <w:color w:val="000000" w:themeColor="text1"/>
        </w:rPr>
        <w:t xml:space="preserve">also </w:t>
      </w:r>
      <w:r w:rsidRPr="00637861">
        <w:rPr>
          <w:rFonts w:ascii="Times New Roman" w:hAnsi="Times New Roman" w:cs="Times New Roman"/>
          <w:color w:val="000000" w:themeColor="text1"/>
        </w:rPr>
        <w:t xml:space="preserve">looks </w:t>
      </w:r>
      <w:r w:rsidR="00AC0F04">
        <w:rPr>
          <w:rFonts w:ascii="Times New Roman" w:hAnsi="Times New Roman" w:cs="Times New Roman"/>
          <w:color w:val="000000" w:themeColor="text1"/>
        </w:rPr>
        <w:t>at</w:t>
      </w:r>
      <w:r w:rsidRPr="00637861">
        <w:rPr>
          <w:rFonts w:ascii="Times New Roman" w:hAnsi="Times New Roman" w:cs="Times New Roman"/>
          <w:color w:val="000000" w:themeColor="text1"/>
        </w:rPr>
        <w:t xml:space="preserve"> how the (private) legal relationship </w:t>
      </w:r>
      <w:r w:rsidR="0007473B" w:rsidRPr="00637861">
        <w:rPr>
          <w:rFonts w:ascii="Times New Roman" w:hAnsi="Times New Roman" w:cs="Times New Roman"/>
          <w:color w:val="000000" w:themeColor="text1"/>
        </w:rPr>
        <w:t>i</w:t>
      </w:r>
      <w:r w:rsidRPr="00637861">
        <w:rPr>
          <w:rFonts w:ascii="Times New Roman" w:hAnsi="Times New Roman" w:cs="Times New Roman"/>
          <w:color w:val="000000" w:themeColor="text1"/>
        </w:rPr>
        <w:t>s irrevocably intertwined with the different ways of lawyering (i.e. who</w:t>
      </w:r>
      <w:r w:rsidR="00BC6A25">
        <w:rPr>
          <w:rFonts w:ascii="Times New Roman" w:hAnsi="Times New Roman" w:cs="Times New Roman"/>
          <w:color w:val="000000" w:themeColor="text1"/>
        </w:rPr>
        <w:t xml:space="preserve"> and how</w:t>
      </w:r>
      <w:r w:rsidRPr="00637861">
        <w:rPr>
          <w:rFonts w:ascii="Times New Roman" w:hAnsi="Times New Roman" w:cs="Times New Roman"/>
          <w:color w:val="000000" w:themeColor="text1"/>
        </w:rPr>
        <w:t xml:space="preserve"> gives substance to the sustainability-related obligations between parties) and law-making (e.g. </w:t>
      </w:r>
      <w:r w:rsidR="00AC0F04">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role of </w:t>
      </w:r>
      <w:r w:rsidR="00AC0F04">
        <w:rPr>
          <w:rFonts w:ascii="Times New Roman" w:hAnsi="Times New Roman" w:cs="Times New Roman"/>
          <w:color w:val="000000" w:themeColor="text1"/>
        </w:rPr>
        <w:t xml:space="preserve">the </w:t>
      </w:r>
      <w:proofErr w:type="spellStart"/>
      <w:r w:rsidRPr="00637861">
        <w:rPr>
          <w:rFonts w:ascii="Times New Roman" w:hAnsi="Times New Roman" w:cs="Times New Roman"/>
          <w:color w:val="000000" w:themeColor="text1"/>
        </w:rPr>
        <w:t>macrofinancial</w:t>
      </w:r>
      <w:proofErr w:type="spellEnd"/>
      <w:r w:rsidRPr="00637861">
        <w:rPr>
          <w:rFonts w:ascii="Times New Roman" w:hAnsi="Times New Roman" w:cs="Times New Roman"/>
          <w:color w:val="000000" w:themeColor="text1"/>
        </w:rPr>
        <w:t xml:space="preserve"> regime and financial supervision </w:t>
      </w:r>
      <w:r w:rsidR="00AC0F04" w:rsidRPr="00637861">
        <w:rPr>
          <w:rFonts w:ascii="Times New Roman" w:hAnsi="Times New Roman" w:cs="Times New Roman"/>
          <w:color w:val="000000" w:themeColor="text1"/>
        </w:rPr>
        <w:t>i</w:t>
      </w:r>
      <w:r w:rsidR="00AC0F04">
        <w:rPr>
          <w:rFonts w:ascii="Times New Roman" w:hAnsi="Times New Roman" w:cs="Times New Roman"/>
          <w:color w:val="000000" w:themeColor="text1"/>
        </w:rPr>
        <w:t>n</w:t>
      </w:r>
      <w:r w:rsidR="00AC0F04"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shaping </w:t>
      </w:r>
      <w:r w:rsidR="0007473B" w:rsidRPr="00637861">
        <w:rPr>
          <w:rFonts w:ascii="Times New Roman" w:hAnsi="Times New Roman" w:cs="Times New Roman"/>
          <w:color w:val="000000" w:themeColor="text1"/>
        </w:rPr>
        <w:t>behaviour</w:t>
      </w:r>
      <w:r w:rsidRPr="00637861">
        <w:rPr>
          <w:rFonts w:ascii="Times New Roman" w:hAnsi="Times New Roman" w:cs="Times New Roman"/>
          <w:color w:val="000000" w:themeColor="text1"/>
        </w:rPr>
        <w:t>).</w:t>
      </w:r>
      <w:r w:rsidRPr="00637861">
        <w:rPr>
          <w:rStyle w:val="Odwoanieprzypisudolnego"/>
          <w:rFonts w:ascii="Times New Roman" w:hAnsi="Times New Roman" w:cs="Times New Roman"/>
          <w:color w:val="000000" w:themeColor="text1"/>
        </w:rPr>
        <w:footnoteReference w:id="45"/>
      </w:r>
      <w:r w:rsidRPr="00637861">
        <w:rPr>
          <w:rFonts w:ascii="Times New Roman" w:hAnsi="Times New Roman" w:cs="Times New Roman"/>
          <w:color w:val="000000" w:themeColor="text1"/>
        </w:rPr>
        <w:t xml:space="preserve"> In so doing, this article expands on the legal institutionalist approaches</w:t>
      </w:r>
      <w:r w:rsidRPr="00637861">
        <w:rPr>
          <w:rStyle w:val="Odwoanieprzypisudolnego"/>
          <w:rFonts w:ascii="Times New Roman" w:hAnsi="Times New Roman" w:cs="Times New Roman"/>
          <w:color w:val="000000" w:themeColor="text1"/>
        </w:rPr>
        <w:footnoteReference w:id="46"/>
      </w:r>
      <w:r w:rsidRPr="00637861">
        <w:rPr>
          <w:rFonts w:ascii="Times New Roman" w:hAnsi="Times New Roman" w:cs="Times New Roman"/>
          <w:color w:val="000000" w:themeColor="text1"/>
        </w:rPr>
        <w:t xml:space="preserve"> and draws on a broader regulation perspective,</w:t>
      </w:r>
      <w:r w:rsidRPr="00637861">
        <w:rPr>
          <w:rStyle w:val="Odwoanieprzypisudolnego"/>
          <w:rFonts w:ascii="Times New Roman" w:hAnsi="Times New Roman" w:cs="Times New Roman"/>
          <w:color w:val="000000" w:themeColor="text1"/>
        </w:rPr>
        <w:footnoteReference w:id="47"/>
      </w:r>
      <w:r w:rsidRPr="00637861">
        <w:rPr>
          <w:rFonts w:ascii="Times New Roman" w:hAnsi="Times New Roman" w:cs="Times New Roman"/>
          <w:color w:val="000000" w:themeColor="text1"/>
        </w:rPr>
        <w:t xml:space="preserve"> in that </w:t>
      </w:r>
      <w:r w:rsidR="00AC0F04">
        <w:rPr>
          <w:rFonts w:ascii="Times New Roman" w:hAnsi="Times New Roman" w:cs="Times New Roman"/>
          <w:color w:val="000000" w:themeColor="text1"/>
        </w:rPr>
        <w:t xml:space="preserve">it </w:t>
      </w:r>
      <w:r w:rsidRPr="00637861">
        <w:rPr>
          <w:rFonts w:ascii="Times New Roman" w:hAnsi="Times New Roman" w:cs="Times New Roman"/>
          <w:color w:val="000000" w:themeColor="text1"/>
        </w:rPr>
        <w:t xml:space="preserve">considers not only the direct and indirect changes in debt relationships in the context of sustainable finance standards, but </w:t>
      </w:r>
      <w:r w:rsidR="00AC0F04">
        <w:rPr>
          <w:rFonts w:ascii="Times New Roman" w:hAnsi="Times New Roman" w:cs="Times New Roman"/>
          <w:color w:val="000000" w:themeColor="text1"/>
        </w:rPr>
        <w:t xml:space="preserve">also </w:t>
      </w:r>
      <w:r w:rsidRPr="00637861">
        <w:rPr>
          <w:rFonts w:ascii="Times New Roman" w:hAnsi="Times New Roman" w:cs="Times New Roman"/>
          <w:color w:val="000000" w:themeColor="text1"/>
        </w:rPr>
        <w:t>considers the other measures that shape actor behaviour (i.e</w:t>
      </w:r>
      <w:r w:rsidR="00AC0F04">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self-regulation</w:t>
      </w:r>
      <w:r w:rsidR="00AC0F04">
        <w:rPr>
          <w:rFonts w:ascii="Times New Roman" w:hAnsi="Times New Roman" w:cs="Times New Roman"/>
          <w:color w:val="000000" w:themeColor="text1"/>
        </w:rPr>
        <w:t xml:space="preserve"> and</w:t>
      </w:r>
      <w:r w:rsidR="00AC0F04" w:rsidRPr="00637861">
        <w:rPr>
          <w:rFonts w:ascii="Times New Roman" w:hAnsi="Times New Roman" w:cs="Times New Roman"/>
          <w:color w:val="000000" w:themeColor="text1"/>
        </w:rPr>
        <w:t xml:space="preserve"> </w:t>
      </w:r>
      <w:proofErr w:type="spellStart"/>
      <w:r w:rsidRPr="00637861">
        <w:rPr>
          <w:rFonts w:ascii="Times New Roman" w:hAnsi="Times New Roman" w:cs="Times New Roman"/>
          <w:color w:val="000000" w:themeColor="text1"/>
        </w:rPr>
        <w:t>macrofinancial</w:t>
      </w:r>
      <w:proofErr w:type="spellEnd"/>
      <w:r w:rsidRPr="00637861">
        <w:rPr>
          <w:rFonts w:ascii="Times New Roman" w:hAnsi="Times New Roman" w:cs="Times New Roman"/>
          <w:color w:val="000000" w:themeColor="text1"/>
        </w:rPr>
        <w:t xml:space="preserve"> regimes).</w:t>
      </w:r>
      <w:r w:rsidRPr="00637861">
        <w:rPr>
          <w:rStyle w:val="Odwoanieprzypisudolnego"/>
          <w:rFonts w:ascii="Times New Roman" w:hAnsi="Times New Roman" w:cs="Times New Roman"/>
          <w:color w:val="000000" w:themeColor="text1"/>
        </w:rPr>
        <w:footnoteReference w:id="48"/>
      </w:r>
      <w:r w:rsidRPr="00637861">
        <w:rPr>
          <w:rFonts w:ascii="Times New Roman" w:hAnsi="Times New Roman" w:cs="Times New Roman"/>
          <w:color w:val="000000" w:themeColor="text1"/>
        </w:rPr>
        <w:t xml:space="preserve"> The focus on private debt relationships additionally complements the transformative law debate on direct </w:t>
      </w:r>
      <w:r w:rsidRPr="00637861">
        <w:rPr>
          <w:rFonts w:ascii="Times New Roman" w:hAnsi="Times New Roman" w:cs="Times New Roman"/>
          <w:color w:val="000000" w:themeColor="text1"/>
        </w:rPr>
        <w:lastRenderedPageBreak/>
        <w:t>public and planning interventions in market ordering.</w:t>
      </w:r>
      <w:r w:rsidRPr="00637861">
        <w:rPr>
          <w:rStyle w:val="Odwoanieprzypisudolnego"/>
          <w:rFonts w:ascii="Times New Roman" w:hAnsi="Times New Roman" w:cs="Times New Roman"/>
          <w:color w:val="000000" w:themeColor="text1"/>
        </w:rPr>
        <w:footnoteReference w:id="49"/>
      </w:r>
      <w:r w:rsidRPr="00637861">
        <w:rPr>
          <w:rFonts w:ascii="Times New Roman" w:hAnsi="Times New Roman" w:cs="Times New Roman"/>
          <w:color w:val="000000" w:themeColor="text1"/>
        </w:rPr>
        <w:t xml:space="preserve"> </w:t>
      </w:r>
      <w:r w:rsidR="0007473B" w:rsidRPr="00637861">
        <w:rPr>
          <w:rFonts w:ascii="Times New Roman" w:hAnsi="Times New Roman" w:cs="Times New Roman"/>
          <w:color w:val="000000" w:themeColor="text1"/>
        </w:rPr>
        <w:t xml:space="preserve"> This perspective allows </w:t>
      </w:r>
      <w:r w:rsidR="00AC0F04">
        <w:rPr>
          <w:rFonts w:ascii="Times New Roman" w:hAnsi="Times New Roman" w:cs="Times New Roman"/>
          <w:color w:val="000000" w:themeColor="text1"/>
        </w:rPr>
        <w:t xml:space="preserve">us </w:t>
      </w:r>
      <w:r w:rsidR="0007473B" w:rsidRPr="00637861">
        <w:rPr>
          <w:rFonts w:ascii="Times New Roman" w:hAnsi="Times New Roman" w:cs="Times New Roman"/>
          <w:color w:val="000000" w:themeColor="text1"/>
        </w:rPr>
        <w:t xml:space="preserve">to explore the role of law in expanding or constraining new ways of incorporating </w:t>
      </w:r>
      <w:r w:rsidR="006A5A07">
        <w:rPr>
          <w:rFonts w:ascii="Times New Roman" w:hAnsi="Times New Roman" w:cs="Times New Roman"/>
          <w:color w:val="000000" w:themeColor="text1"/>
        </w:rPr>
        <w:t xml:space="preserve">the </w:t>
      </w:r>
      <w:r w:rsidR="0007473B" w:rsidRPr="00637861">
        <w:rPr>
          <w:rFonts w:ascii="Times New Roman" w:hAnsi="Times New Roman" w:cs="Times New Roman"/>
          <w:color w:val="000000" w:themeColor="text1"/>
        </w:rPr>
        <w:t xml:space="preserve">social and environmental objectives </w:t>
      </w:r>
      <w:r w:rsidR="00AC0F04">
        <w:rPr>
          <w:rFonts w:ascii="Times New Roman" w:hAnsi="Times New Roman" w:cs="Times New Roman"/>
          <w:color w:val="000000" w:themeColor="text1"/>
        </w:rPr>
        <w:t>whose</w:t>
      </w:r>
      <w:r w:rsidR="00AC0F04" w:rsidRPr="00637861">
        <w:rPr>
          <w:rFonts w:ascii="Times New Roman" w:hAnsi="Times New Roman" w:cs="Times New Roman"/>
          <w:color w:val="000000" w:themeColor="text1"/>
        </w:rPr>
        <w:t xml:space="preserve"> </w:t>
      </w:r>
      <w:r w:rsidR="0007473B" w:rsidRPr="00637861">
        <w:rPr>
          <w:rFonts w:ascii="Times New Roman" w:hAnsi="Times New Roman" w:cs="Times New Roman"/>
          <w:color w:val="000000" w:themeColor="text1"/>
        </w:rPr>
        <w:t xml:space="preserve">pursuit is to be financed, </w:t>
      </w:r>
      <w:r w:rsidR="00AC0F04">
        <w:rPr>
          <w:rFonts w:ascii="Times New Roman" w:hAnsi="Times New Roman" w:cs="Times New Roman"/>
          <w:color w:val="000000" w:themeColor="text1"/>
        </w:rPr>
        <w:t xml:space="preserve">as well as to </w:t>
      </w:r>
      <w:r w:rsidR="0007473B" w:rsidRPr="00637861">
        <w:rPr>
          <w:rFonts w:ascii="Times New Roman" w:hAnsi="Times New Roman" w:cs="Times New Roman"/>
          <w:color w:val="000000" w:themeColor="text1"/>
        </w:rPr>
        <w:t>differentiate between them.</w:t>
      </w:r>
    </w:p>
    <w:p w14:paraId="0690D7EA" w14:textId="77777777" w:rsidR="009F215F" w:rsidRPr="00637861" w:rsidRDefault="009F215F" w:rsidP="00A05A67">
      <w:pPr>
        <w:spacing w:after="120" w:line="360" w:lineRule="auto"/>
        <w:jc w:val="both"/>
        <w:rPr>
          <w:rFonts w:ascii="Times New Roman" w:hAnsi="Times New Roman" w:cs="Times New Roman"/>
          <w:color w:val="000000" w:themeColor="text1"/>
        </w:rPr>
      </w:pPr>
    </w:p>
    <w:tbl>
      <w:tblPr>
        <w:tblStyle w:val="Tabela-Siatka"/>
        <w:tblW w:w="0" w:type="auto"/>
        <w:tblLook w:val="04A0" w:firstRow="1" w:lastRow="0" w:firstColumn="1" w:lastColumn="0" w:noHBand="0" w:noVBand="1"/>
      </w:tblPr>
      <w:tblGrid>
        <w:gridCol w:w="1052"/>
        <w:gridCol w:w="2359"/>
        <w:gridCol w:w="2152"/>
        <w:gridCol w:w="2507"/>
      </w:tblGrid>
      <w:tr w:rsidR="008B50D1" w:rsidRPr="00637861" w14:paraId="451FDC4E" w14:textId="4B0DE2DA" w:rsidTr="009C18B7">
        <w:trPr>
          <w:trHeight w:val="478"/>
        </w:trPr>
        <w:tc>
          <w:tcPr>
            <w:tcW w:w="0" w:type="auto"/>
            <w:gridSpan w:val="2"/>
            <w:vAlign w:val="center"/>
          </w:tcPr>
          <w:p w14:paraId="1134BFB0" w14:textId="5BFBE1C0" w:rsidR="008B50D1" w:rsidRPr="00637861" w:rsidRDefault="008B50D1" w:rsidP="009F215F">
            <w:pPr>
              <w:jc w:val="center"/>
              <w:rPr>
                <w:rFonts w:ascii="Times New Roman" w:hAnsi="Times New Roman" w:cs="Times New Roman"/>
                <w:b/>
                <w:bCs/>
                <w:sz w:val="16"/>
                <w:szCs w:val="16"/>
              </w:rPr>
            </w:pPr>
            <w:r w:rsidRPr="00637861">
              <w:rPr>
                <w:rFonts w:ascii="Times New Roman" w:hAnsi="Times New Roman" w:cs="Times New Roman"/>
                <w:b/>
                <w:bCs/>
                <w:sz w:val="16"/>
                <w:szCs w:val="16"/>
              </w:rPr>
              <w:t>Legal environment aspect</w:t>
            </w:r>
          </w:p>
        </w:tc>
        <w:tc>
          <w:tcPr>
            <w:tcW w:w="0" w:type="auto"/>
            <w:vAlign w:val="center"/>
          </w:tcPr>
          <w:p w14:paraId="1D11698C" w14:textId="6D428004" w:rsidR="008B50D1" w:rsidRPr="00637861" w:rsidRDefault="008B50D1" w:rsidP="009F215F">
            <w:pPr>
              <w:jc w:val="center"/>
              <w:rPr>
                <w:rFonts w:ascii="Times New Roman" w:hAnsi="Times New Roman" w:cs="Times New Roman"/>
                <w:b/>
                <w:bCs/>
                <w:sz w:val="16"/>
                <w:szCs w:val="16"/>
              </w:rPr>
            </w:pPr>
            <w:r w:rsidRPr="00637861">
              <w:rPr>
                <w:rFonts w:ascii="Times New Roman" w:hAnsi="Times New Roman" w:cs="Times New Roman"/>
                <w:b/>
                <w:bCs/>
                <w:sz w:val="16"/>
                <w:szCs w:val="16"/>
              </w:rPr>
              <w:t>Analytical question</w:t>
            </w:r>
          </w:p>
        </w:tc>
        <w:tc>
          <w:tcPr>
            <w:tcW w:w="0" w:type="auto"/>
            <w:vAlign w:val="center"/>
          </w:tcPr>
          <w:p w14:paraId="6AB6A82A" w14:textId="24C2DF84" w:rsidR="008B50D1" w:rsidRPr="00637861" w:rsidRDefault="008B50D1" w:rsidP="009F215F">
            <w:pPr>
              <w:jc w:val="center"/>
              <w:rPr>
                <w:rFonts w:ascii="Times New Roman" w:hAnsi="Times New Roman" w:cs="Times New Roman"/>
                <w:b/>
                <w:bCs/>
                <w:sz w:val="16"/>
                <w:szCs w:val="16"/>
              </w:rPr>
            </w:pPr>
            <w:r w:rsidRPr="00637861">
              <w:rPr>
                <w:rFonts w:ascii="Times New Roman" w:hAnsi="Times New Roman" w:cs="Times New Roman"/>
                <w:b/>
                <w:bCs/>
                <w:sz w:val="16"/>
                <w:szCs w:val="16"/>
              </w:rPr>
              <w:t>Relevant legal environment aspect of green bonds (examples)</w:t>
            </w:r>
          </w:p>
        </w:tc>
      </w:tr>
      <w:tr w:rsidR="008B50D1" w:rsidRPr="00637861" w14:paraId="2972D776" w14:textId="4301B165" w:rsidTr="009C18B7">
        <w:trPr>
          <w:trHeight w:val="307"/>
        </w:trPr>
        <w:tc>
          <w:tcPr>
            <w:tcW w:w="0" w:type="auto"/>
            <w:vAlign w:val="center"/>
          </w:tcPr>
          <w:p w14:paraId="72536F21" w14:textId="00DEDEA0" w:rsidR="008B50D1" w:rsidRPr="00637861" w:rsidRDefault="006A5A07" w:rsidP="009F215F">
            <w:pPr>
              <w:rPr>
                <w:rFonts w:ascii="Times New Roman" w:hAnsi="Times New Roman" w:cs="Times New Roman"/>
                <w:b/>
                <w:bCs/>
                <w:sz w:val="16"/>
                <w:szCs w:val="16"/>
              </w:rPr>
            </w:pPr>
            <w:r>
              <w:rPr>
                <w:rFonts w:ascii="Times New Roman" w:hAnsi="Times New Roman" w:cs="Times New Roman"/>
                <w:b/>
                <w:bCs/>
                <w:sz w:val="16"/>
                <w:szCs w:val="16"/>
              </w:rPr>
              <w:t>R</w:t>
            </w:r>
            <w:r w:rsidRPr="00637861">
              <w:rPr>
                <w:rFonts w:ascii="Times New Roman" w:hAnsi="Times New Roman" w:cs="Times New Roman"/>
                <w:b/>
                <w:bCs/>
                <w:sz w:val="16"/>
                <w:szCs w:val="16"/>
              </w:rPr>
              <w:t>egulatory</w:t>
            </w:r>
          </w:p>
        </w:tc>
        <w:tc>
          <w:tcPr>
            <w:tcW w:w="0" w:type="auto"/>
            <w:vAlign w:val="center"/>
          </w:tcPr>
          <w:p w14:paraId="3D1FC76A" w14:textId="6B56FECD" w:rsidR="008B50D1" w:rsidRPr="00637861" w:rsidRDefault="008B50D1" w:rsidP="009F215F">
            <w:pPr>
              <w:rPr>
                <w:rFonts w:ascii="Times New Roman" w:hAnsi="Times New Roman" w:cs="Times New Roman"/>
                <w:sz w:val="16"/>
                <w:szCs w:val="16"/>
              </w:rPr>
            </w:pPr>
            <w:r w:rsidRPr="00637861">
              <w:rPr>
                <w:rFonts w:ascii="Times New Roman" w:hAnsi="Times New Roman" w:cs="Times New Roman"/>
                <w:sz w:val="16"/>
                <w:szCs w:val="16"/>
              </w:rPr>
              <w:t>control-and-command</w:t>
            </w:r>
            <w:r w:rsidR="005F361F">
              <w:rPr>
                <w:rFonts w:ascii="Times New Roman" w:hAnsi="Times New Roman" w:cs="Times New Roman"/>
                <w:sz w:val="16"/>
                <w:szCs w:val="16"/>
              </w:rPr>
              <w:t xml:space="preserve"> law with</w:t>
            </w:r>
            <w:r w:rsidRPr="00637861">
              <w:rPr>
                <w:rFonts w:ascii="Times New Roman" w:hAnsi="Times New Roman" w:cs="Times New Roman"/>
                <w:sz w:val="16"/>
                <w:szCs w:val="16"/>
              </w:rPr>
              <w:t xml:space="preserve"> organisational responses defin</w:t>
            </w:r>
            <w:r w:rsidR="005F361F">
              <w:rPr>
                <w:rFonts w:ascii="Times New Roman" w:hAnsi="Times New Roman" w:cs="Times New Roman"/>
                <w:sz w:val="16"/>
                <w:szCs w:val="16"/>
              </w:rPr>
              <w:t>ing</w:t>
            </w:r>
            <w:r w:rsidRPr="00637861">
              <w:rPr>
                <w:rFonts w:ascii="Times New Roman" w:hAnsi="Times New Roman" w:cs="Times New Roman"/>
                <w:sz w:val="16"/>
                <w:szCs w:val="16"/>
              </w:rPr>
              <w:t xml:space="preserve"> compliance</w:t>
            </w:r>
          </w:p>
        </w:tc>
        <w:tc>
          <w:tcPr>
            <w:tcW w:w="0" w:type="auto"/>
            <w:vAlign w:val="center"/>
          </w:tcPr>
          <w:p w14:paraId="5D97D550" w14:textId="3C385591" w:rsidR="008B50D1" w:rsidRPr="00637861" w:rsidRDefault="008B50D1" w:rsidP="009F215F">
            <w:pPr>
              <w:rPr>
                <w:rFonts w:ascii="Times New Roman" w:hAnsi="Times New Roman" w:cs="Times New Roman"/>
                <w:sz w:val="16"/>
                <w:szCs w:val="16"/>
              </w:rPr>
            </w:pPr>
            <w:r w:rsidRPr="00637861">
              <w:rPr>
                <w:rFonts w:ascii="Times New Roman" w:hAnsi="Times New Roman" w:cs="Times New Roman"/>
                <w:sz w:val="16"/>
                <w:szCs w:val="16"/>
              </w:rPr>
              <w:t>How are the rules for behaviour affected?</w:t>
            </w:r>
          </w:p>
        </w:tc>
        <w:tc>
          <w:tcPr>
            <w:tcW w:w="0" w:type="auto"/>
            <w:vAlign w:val="center"/>
          </w:tcPr>
          <w:p w14:paraId="13333F6C" w14:textId="15BD66C1" w:rsidR="008B50D1" w:rsidRPr="00637861" w:rsidRDefault="008B50D1" w:rsidP="009F215F">
            <w:pPr>
              <w:rPr>
                <w:rFonts w:ascii="Times New Roman" w:hAnsi="Times New Roman" w:cs="Times New Roman"/>
                <w:sz w:val="16"/>
                <w:szCs w:val="16"/>
              </w:rPr>
            </w:pPr>
            <w:r w:rsidRPr="00637861">
              <w:rPr>
                <w:rFonts w:ascii="Times New Roman" w:hAnsi="Times New Roman" w:cs="Times New Roman"/>
                <w:sz w:val="16"/>
                <w:szCs w:val="16"/>
              </w:rPr>
              <w:t>contract</w:t>
            </w:r>
            <w:r w:rsidR="006A5A07">
              <w:rPr>
                <w:rFonts w:ascii="Times New Roman" w:hAnsi="Times New Roman" w:cs="Times New Roman"/>
                <w:sz w:val="16"/>
                <w:szCs w:val="16"/>
              </w:rPr>
              <w:t>s,</w:t>
            </w:r>
            <w:r w:rsidR="006A5A07" w:rsidRPr="00637861">
              <w:rPr>
                <w:rFonts w:ascii="Times New Roman" w:hAnsi="Times New Roman" w:cs="Times New Roman"/>
                <w:sz w:val="16"/>
                <w:szCs w:val="16"/>
              </w:rPr>
              <w:t xml:space="preserve"> </w:t>
            </w:r>
            <w:r w:rsidRPr="00637861">
              <w:rPr>
                <w:rFonts w:ascii="Times New Roman" w:hAnsi="Times New Roman" w:cs="Times New Roman"/>
                <w:sz w:val="16"/>
                <w:szCs w:val="16"/>
              </w:rPr>
              <w:t>corporate law</w:t>
            </w:r>
            <w:r w:rsidR="006A5A07">
              <w:rPr>
                <w:rFonts w:ascii="Times New Roman" w:hAnsi="Times New Roman" w:cs="Times New Roman"/>
                <w:sz w:val="16"/>
                <w:szCs w:val="16"/>
              </w:rPr>
              <w:t>,</w:t>
            </w:r>
            <w:r w:rsidR="006A5A07" w:rsidRPr="00637861">
              <w:rPr>
                <w:rFonts w:ascii="Times New Roman" w:hAnsi="Times New Roman" w:cs="Times New Roman"/>
                <w:sz w:val="16"/>
                <w:szCs w:val="16"/>
              </w:rPr>
              <w:t xml:space="preserve"> </w:t>
            </w:r>
            <w:r w:rsidRPr="00637861">
              <w:rPr>
                <w:rFonts w:ascii="Times New Roman" w:hAnsi="Times New Roman" w:cs="Times New Roman"/>
                <w:sz w:val="16"/>
                <w:szCs w:val="16"/>
              </w:rPr>
              <w:t>confidentiality laws</w:t>
            </w:r>
            <w:r w:rsidR="006A5A07">
              <w:rPr>
                <w:rFonts w:ascii="Times New Roman" w:hAnsi="Times New Roman" w:cs="Times New Roman"/>
                <w:sz w:val="16"/>
                <w:szCs w:val="16"/>
              </w:rPr>
              <w:t>,</w:t>
            </w:r>
            <w:r w:rsidR="006A5A07" w:rsidRPr="00637861">
              <w:rPr>
                <w:rFonts w:ascii="Times New Roman" w:hAnsi="Times New Roman" w:cs="Times New Roman"/>
                <w:sz w:val="16"/>
                <w:szCs w:val="16"/>
              </w:rPr>
              <w:t xml:space="preserve"> </w:t>
            </w:r>
            <w:r w:rsidRPr="00637861">
              <w:rPr>
                <w:rFonts w:ascii="Times New Roman" w:hAnsi="Times New Roman" w:cs="Times New Roman"/>
                <w:sz w:val="16"/>
                <w:szCs w:val="16"/>
              </w:rPr>
              <w:t>product standards</w:t>
            </w:r>
            <w:r w:rsidR="006A5A07">
              <w:rPr>
                <w:rFonts w:ascii="Times New Roman" w:hAnsi="Times New Roman" w:cs="Times New Roman"/>
                <w:sz w:val="16"/>
                <w:szCs w:val="16"/>
              </w:rPr>
              <w:t>,</w:t>
            </w:r>
            <w:r w:rsidR="006A5A07" w:rsidRPr="00637861">
              <w:rPr>
                <w:rFonts w:ascii="Times New Roman" w:hAnsi="Times New Roman" w:cs="Times New Roman"/>
                <w:sz w:val="16"/>
                <w:szCs w:val="16"/>
              </w:rPr>
              <w:t xml:space="preserve"> </w:t>
            </w:r>
            <w:r w:rsidR="00D66081">
              <w:rPr>
                <w:rFonts w:ascii="Times New Roman" w:hAnsi="Times New Roman" w:cs="Times New Roman"/>
                <w:sz w:val="16"/>
                <w:szCs w:val="16"/>
              </w:rPr>
              <w:t>enforcement rules</w:t>
            </w:r>
          </w:p>
        </w:tc>
      </w:tr>
      <w:tr w:rsidR="008B50D1" w:rsidRPr="00637861" w14:paraId="6AE8CBB7" w14:textId="389A6B38" w:rsidTr="009C18B7">
        <w:trPr>
          <w:trHeight w:val="467"/>
        </w:trPr>
        <w:tc>
          <w:tcPr>
            <w:tcW w:w="0" w:type="auto"/>
            <w:vAlign w:val="center"/>
          </w:tcPr>
          <w:p w14:paraId="35C0941F" w14:textId="63331F73" w:rsidR="008B50D1" w:rsidRPr="00637861" w:rsidRDefault="006A5A07" w:rsidP="009F215F">
            <w:pPr>
              <w:rPr>
                <w:rFonts w:ascii="Times New Roman" w:hAnsi="Times New Roman" w:cs="Times New Roman"/>
                <w:b/>
                <w:bCs/>
                <w:sz w:val="16"/>
                <w:szCs w:val="16"/>
              </w:rPr>
            </w:pPr>
            <w:r>
              <w:rPr>
                <w:rFonts w:ascii="Times New Roman" w:hAnsi="Times New Roman" w:cs="Times New Roman"/>
                <w:b/>
                <w:bCs/>
                <w:sz w:val="16"/>
                <w:szCs w:val="16"/>
              </w:rPr>
              <w:t>F</w:t>
            </w:r>
            <w:r w:rsidRPr="00637861">
              <w:rPr>
                <w:rFonts w:ascii="Times New Roman" w:hAnsi="Times New Roman" w:cs="Times New Roman"/>
                <w:b/>
                <w:bCs/>
                <w:sz w:val="16"/>
                <w:szCs w:val="16"/>
              </w:rPr>
              <w:t>acilitative</w:t>
            </w:r>
          </w:p>
        </w:tc>
        <w:tc>
          <w:tcPr>
            <w:tcW w:w="0" w:type="auto"/>
            <w:vAlign w:val="center"/>
          </w:tcPr>
          <w:p w14:paraId="6779BAEB" w14:textId="150549BF" w:rsidR="008B50D1" w:rsidRPr="00637861" w:rsidRDefault="009F215F" w:rsidP="009F215F">
            <w:pPr>
              <w:rPr>
                <w:rFonts w:ascii="Times New Roman" w:hAnsi="Times New Roman" w:cs="Times New Roman"/>
                <w:sz w:val="16"/>
                <w:szCs w:val="16"/>
              </w:rPr>
            </w:pPr>
            <w:r w:rsidRPr="00637861">
              <w:rPr>
                <w:rFonts w:ascii="Times New Roman" w:hAnsi="Times New Roman" w:cs="Times New Roman"/>
                <w:sz w:val="16"/>
                <w:szCs w:val="16"/>
              </w:rPr>
              <w:t>t</w:t>
            </w:r>
            <w:r w:rsidR="008B50D1" w:rsidRPr="00637861">
              <w:rPr>
                <w:rFonts w:ascii="Times New Roman" w:hAnsi="Times New Roman" w:cs="Times New Roman"/>
                <w:sz w:val="16"/>
                <w:szCs w:val="16"/>
              </w:rPr>
              <w:t>ools for interaction and dispute resolution in an organisational context</w:t>
            </w:r>
          </w:p>
        </w:tc>
        <w:tc>
          <w:tcPr>
            <w:tcW w:w="0" w:type="auto"/>
            <w:vAlign w:val="center"/>
          </w:tcPr>
          <w:p w14:paraId="2756A780" w14:textId="07C8F8F7" w:rsidR="008B50D1" w:rsidRPr="00637861" w:rsidRDefault="008B50D1" w:rsidP="009F215F">
            <w:pPr>
              <w:rPr>
                <w:rFonts w:ascii="Times New Roman" w:hAnsi="Times New Roman" w:cs="Times New Roman"/>
                <w:sz w:val="16"/>
                <w:szCs w:val="16"/>
              </w:rPr>
            </w:pPr>
            <w:r w:rsidRPr="00637861">
              <w:rPr>
                <w:rFonts w:ascii="Times New Roman" w:hAnsi="Times New Roman" w:cs="Times New Roman"/>
                <w:sz w:val="16"/>
                <w:szCs w:val="16"/>
              </w:rPr>
              <w:t xml:space="preserve">What are the tools/processes </w:t>
            </w:r>
            <w:r w:rsidR="003B1379">
              <w:rPr>
                <w:rFonts w:ascii="Times New Roman" w:hAnsi="Times New Roman" w:cs="Times New Roman"/>
                <w:sz w:val="16"/>
                <w:szCs w:val="16"/>
              </w:rPr>
              <w:t>shaping</w:t>
            </w:r>
            <w:r w:rsidRPr="00637861">
              <w:rPr>
                <w:rFonts w:ascii="Times New Roman" w:hAnsi="Times New Roman" w:cs="Times New Roman"/>
                <w:sz w:val="16"/>
                <w:szCs w:val="16"/>
              </w:rPr>
              <w:t xml:space="preserve"> interaction</w:t>
            </w:r>
            <w:r w:rsidR="003B1379">
              <w:rPr>
                <w:rFonts w:ascii="Times New Roman" w:hAnsi="Times New Roman" w:cs="Times New Roman"/>
                <w:sz w:val="16"/>
                <w:szCs w:val="16"/>
              </w:rPr>
              <w:t xml:space="preserve"> between actors</w:t>
            </w:r>
            <w:r w:rsidRPr="00637861">
              <w:rPr>
                <w:rFonts w:ascii="Times New Roman" w:hAnsi="Times New Roman" w:cs="Times New Roman"/>
                <w:sz w:val="16"/>
                <w:szCs w:val="16"/>
              </w:rPr>
              <w:t>?</w:t>
            </w:r>
          </w:p>
        </w:tc>
        <w:tc>
          <w:tcPr>
            <w:tcW w:w="0" w:type="auto"/>
            <w:vAlign w:val="center"/>
          </w:tcPr>
          <w:p w14:paraId="56C6ADBA" w14:textId="1F7F1D4C" w:rsidR="008B50D1" w:rsidRPr="00637861" w:rsidRDefault="008B50D1" w:rsidP="009F215F">
            <w:pPr>
              <w:rPr>
                <w:rFonts w:ascii="Times New Roman" w:hAnsi="Times New Roman" w:cs="Times New Roman"/>
                <w:sz w:val="16"/>
                <w:szCs w:val="16"/>
              </w:rPr>
            </w:pPr>
            <w:r w:rsidRPr="00637861">
              <w:rPr>
                <w:rFonts w:ascii="Times New Roman" w:hAnsi="Times New Roman" w:cs="Times New Roman"/>
                <w:sz w:val="16"/>
                <w:szCs w:val="16"/>
              </w:rPr>
              <w:t>negotiation, monitoring, marketing</w:t>
            </w:r>
          </w:p>
        </w:tc>
      </w:tr>
      <w:tr w:rsidR="008B50D1" w:rsidRPr="00637861" w14:paraId="37990310" w14:textId="08E573B7" w:rsidTr="009C18B7">
        <w:trPr>
          <w:trHeight w:val="707"/>
        </w:trPr>
        <w:tc>
          <w:tcPr>
            <w:tcW w:w="0" w:type="auto"/>
            <w:vAlign w:val="center"/>
          </w:tcPr>
          <w:p w14:paraId="7FDC1307" w14:textId="3B4A66A1" w:rsidR="008B50D1" w:rsidRPr="00637861" w:rsidRDefault="006A5A07" w:rsidP="009F215F">
            <w:pPr>
              <w:rPr>
                <w:rFonts w:ascii="Times New Roman" w:hAnsi="Times New Roman" w:cs="Times New Roman"/>
                <w:b/>
                <w:bCs/>
                <w:sz w:val="16"/>
                <w:szCs w:val="16"/>
              </w:rPr>
            </w:pPr>
            <w:r>
              <w:rPr>
                <w:rFonts w:ascii="Times New Roman" w:hAnsi="Times New Roman" w:cs="Times New Roman"/>
                <w:b/>
                <w:bCs/>
                <w:sz w:val="16"/>
                <w:szCs w:val="16"/>
              </w:rPr>
              <w:t>C</w:t>
            </w:r>
            <w:r w:rsidRPr="00637861">
              <w:rPr>
                <w:rFonts w:ascii="Times New Roman" w:hAnsi="Times New Roman" w:cs="Times New Roman"/>
                <w:b/>
                <w:bCs/>
                <w:sz w:val="16"/>
                <w:szCs w:val="16"/>
              </w:rPr>
              <w:t>onstitutive</w:t>
            </w:r>
          </w:p>
        </w:tc>
        <w:tc>
          <w:tcPr>
            <w:tcW w:w="0" w:type="auto"/>
            <w:vAlign w:val="center"/>
          </w:tcPr>
          <w:p w14:paraId="2117EFF0" w14:textId="1D8571B5" w:rsidR="008B50D1" w:rsidRPr="00637861" w:rsidRDefault="009F215F" w:rsidP="009F215F">
            <w:pPr>
              <w:rPr>
                <w:rFonts w:ascii="Times New Roman" w:hAnsi="Times New Roman" w:cs="Times New Roman"/>
                <w:sz w:val="16"/>
                <w:szCs w:val="16"/>
              </w:rPr>
            </w:pPr>
            <w:r w:rsidRPr="00637861">
              <w:rPr>
                <w:rFonts w:ascii="Times New Roman" w:hAnsi="Times New Roman" w:cs="Times New Roman"/>
                <w:sz w:val="16"/>
                <w:szCs w:val="16"/>
              </w:rPr>
              <w:t>l</w:t>
            </w:r>
            <w:r w:rsidR="008B50D1" w:rsidRPr="00637861">
              <w:rPr>
                <w:rFonts w:ascii="Times New Roman" w:hAnsi="Times New Roman" w:cs="Times New Roman"/>
                <w:sz w:val="16"/>
                <w:szCs w:val="16"/>
              </w:rPr>
              <w:t xml:space="preserve">egal forms and categories that help define </w:t>
            </w:r>
            <w:r w:rsidR="006A5A07">
              <w:rPr>
                <w:rFonts w:ascii="Times New Roman" w:hAnsi="Times New Roman" w:cs="Times New Roman"/>
                <w:sz w:val="16"/>
                <w:szCs w:val="16"/>
              </w:rPr>
              <w:t xml:space="preserve">the </w:t>
            </w:r>
            <w:r w:rsidR="008B50D1" w:rsidRPr="00637861">
              <w:rPr>
                <w:rFonts w:ascii="Times New Roman" w:hAnsi="Times New Roman" w:cs="Times New Roman"/>
                <w:sz w:val="16"/>
                <w:szCs w:val="16"/>
              </w:rPr>
              <w:t>nature of organisations</w:t>
            </w:r>
          </w:p>
        </w:tc>
        <w:tc>
          <w:tcPr>
            <w:tcW w:w="0" w:type="auto"/>
            <w:vAlign w:val="center"/>
          </w:tcPr>
          <w:p w14:paraId="41929D97" w14:textId="27013EEA" w:rsidR="008B50D1" w:rsidRPr="00637861" w:rsidRDefault="008B50D1" w:rsidP="009F215F">
            <w:pPr>
              <w:rPr>
                <w:rFonts w:ascii="Times New Roman" w:hAnsi="Times New Roman" w:cs="Times New Roman"/>
                <w:sz w:val="16"/>
                <w:szCs w:val="16"/>
              </w:rPr>
            </w:pPr>
            <w:r w:rsidRPr="00637861">
              <w:rPr>
                <w:rFonts w:ascii="Times New Roman" w:hAnsi="Times New Roman" w:cs="Times New Roman"/>
                <w:sz w:val="16"/>
                <w:szCs w:val="16"/>
              </w:rPr>
              <w:t>What are the foundational properties?</w:t>
            </w:r>
          </w:p>
        </w:tc>
        <w:tc>
          <w:tcPr>
            <w:tcW w:w="0" w:type="auto"/>
            <w:vAlign w:val="center"/>
          </w:tcPr>
          <w:p w14:paraId="1005F654" w14:textId="1DD9BCE7" w:rsidR="008B50D1" w:rsidRPr="00637861" w:rsidRDefault="008B50D1" w:rsidP="009F215F">
            <w:pPr>
              <w:rPr>
                <w:rFonts w:ascii="Times New Roman" w:hAnsi="Times New Roman" w:cs="Times New Roman"/>
                <w:sz w:val="16"/>
                <w:szCs w:val="16"/>
              </w:rPr>
            </w:pPr>
            <w:r w:rsidRPr="00637861">
              <w:rPr>
                <w:rFonts w:ascii="Times New Roman" w:hAnsi="Times New Roman" w:cs="Times New Roman"/>
                <w:sz w:val="16"/>
                <w:szCs w:val="16"/>
              </w:rPr>
              <w:t>definitions, default rules, roles and responsibilities</w:t>
            </w:r>
          </w:p>
        </w:tc>
      </w:tr>
    </w:tbl>
    <w:p w14:paraId="63CDE9B7" w14:textId="17C89F14" w:rsidR="008B50D1" w:rsidRPr="00637861" w:rsidRDefault="008B50D1" w:rsidP="00A05A67">
      <w:pPr>
        <w:spacing w:after="120" w:line="360" w:lineRule="auto"/>
        <w:rPr>
          <w:rFonts w:ascii="Times New Roman" w:hAnsi="Times New Roman" w:cs="Times New Roman"/>
        </w:rPr>
      </w:pPr>
      <w:r w:rsidRPr="00637861">
        <w:rPr>
          <w:rFonts w:ascii="Times New Roman" w:hAnsi="Times New Roman" w:cs="Times New Roman"/>
        </w:rPr>
        <w:t xml:space="preserve">Table 2: Legal environment aspects of sustainable debt </w:t>
      </w:r>
    </w:p>
    <w:p w14:paraId="38D30375" w14:textId="77777777" w:rsidR="008B50D1" w:rsidRPr="00637861" w:rsidRDefault="008B50D1" w:rsidP="00A05A67">
      <w:pPr>
        <w:spacing w:after="120" w:line="360" w:lineRule="auto"/>
        <w:rPr>
          <w:rFonts w:ascii="Times New Roman" w:hAnsi="Times New Roman" w:cs="Times New Roman"/>
        </w:rPr>
      </w:pPr>
    </w:p>
    <w:p w14:paraId="58A8D2F3" w14:textId="1F93071D" w:rsidR="008B50D1" w:rsidRPr="00637861" w:rsidRDefault="008B50D1" w:rsidP="0013291E">
      <w:pPr>
        <w:pStyle w:val="Nagwek1"/>
        <w:numPr>
          <w:ilvl w:val="0"/>
          <w:numId w:val="11"/>
        </w:numPr>
        <w:spacing w:before="0" w:after="120" w:line="360" w:lineRule="auto"/>
        <w:jc w:val="both"/>
        <w:rPr>
          <w:rFonts w:ascii="Times New Roman" w:hAnsi="Times New Roman" w:cs="Times New Roman"/>
          <w:color w:val="000000" w:themeColor="text1"/>
          <w:sz w:val="24"/>
          <w:szCs w:val="24"/>
        </w:rPr>
      </w:pPr>
      <w:r w:rsidRPr="00637861">
        <w:rPr>
          <w:rFonts w:ascii="Times New Roman" w:hAnsi="Times New Roman" w:cs="Times New Roman"/>
          <w:b/>
          <w:bCs/>
          <w:color w:val="000000" w:themeColor="text1"/>
          <w:sz w:val="24"/>
          <w:szCs w:val="24"/>
        </w:rPr>
        <w:t xml:space="preserve">EU green bond issuances: </w:t>
      </w:r>
      <w:r w:rsidR="00E118C3">
        <w:rPr>
          <w:rFonts w:ascii="Times New Roman" w:hAnsi="Times New Roman" w:cs="Times New Roman"/>
          <w:b/>
          <w:bCs/>
          <w:color w:val="000000" w:themeColor="text1"/>
          <w:sz w:val="24"/>
          <w:szCs w:val="24"/>
        </w:rPr>
        <w:t>E</w:t>
      </w:r>
      <w:r w:rsidR="00E118C3" w:rsidRPr="00637861">
        <w:rPr>
          <w:rFonts w:ascii="Times New Roman" w:hAnsi="Times New Roman" w:cs="Times New Roman"/>
          <w:b/>
          <w:bCs/>
          <w:color w:val="000000" w:themeColor="text1"/>
          <w:sz w:val="24"/>
          <w:szCs w:val="24"/>
        </w:rPr>
        <w:t xml:space="preserve">verything </w:t>
      </w:r>
      <w:r w:rsidRPr="00637861">
        <w:rPr>
          <w:rFonts w:ascii="Times New Roman" w:hAnsi="Times New Roman" w:cs="Times New Roman"/>
          <w:b/>
          <w:bCs/>
          <w:color w:val="000000" w:themeColor="text1"/>
          <w:sz w:val="24"/>
          <w:szCs w:val="24"/>
        </w:rPr>
        <w:t>has to change so that nothing changes?</w:t>
      </w:r>
    </w:p>
    <w:p w14:paraId="6CD4815D" w14:textId="372110D0"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This section explores four dimensions of green bond development: the structure and legal framing of green bond prospectuses and documentation; the shifting dynamics in the negotiation process, including new actors and motivations; the post-issuance practices of monitoring and marketing that define the governance of these instruments; and the positioning of green debt within the context of macro-financial policy regimes. Each dimension sheds light on how </w:t>
      </w:r>
      <w:r w:rsidR="00AA43AC">
        <w:rPr>
          <w:rFonts w:ascii="Times New Roman" w:hAnsi="Times New Roman" w:cs="Times New Roman"/>
          <w:color w:val="000000" w:themeColor="text1"/>
        </w:rPr>
        <w:t xml:space="preserve">law is </w:t>
      </w:r>
      <w:r w:rsidRPr="00637861">
        <w:rPr>
          <w:rFonts w:ascii="Times New Roman" w:hAnsi="Times New Roman" w:cs="Times New Roman"/>
          <w:color w:val="000000" w:themeColor="text1"/>
        </w:rPr>
        <w:t xml:space="preserve">being stretched, reshaped or bypassed to accommodate sustainability goals. </w:t>
      </w:r>
    </w:p>
    <w:p w14:paraId="51DA9DC8" w14:textId="0AE1801C" w:rsidR="008B50D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The findings in this section draw on the prospectus terms of 35 green bond issuances in the Netherlands, Spain, Sweden and Poland from 2019 to 2024, i.e. the period </w:t>
      </w:r>
      <w:r w:rsidR="006A5A07">
        <w:rPr>
          <w:rFonts w:ascii="Times New Roman" w:hAnsi="Times New Roman" w:cs="Times New Roman"/>
          <w:color w:val="000000" w:themeColor="text1"/>
        </w:rPr>
        <w:t>before</w:t>
      </w:r>
      <w:r w:rsidRPr="00637861">
        <w:rPr>
          <w:rFonts w:ascii="Times New Roman" w:hAnsi="Times New Roman" w:cs="Times New Roman"/>
          <w:color w:val="000000" w:themeColor="text1"/>
        </w:rPr>
        <w:t xml:space="preserve"> the EU Green Bond Regulation ent</w:t>
      </w:r>
      <w:r w:rsidR="006A5A07">
        <w:rPr>
          <w:rFonts w:ascii="Times New Roman" w:hAnsi="Times New Roman" w:cs="Times New Roman"/>
          <w:color w:val="000000" w:themeColor="text1"/>
        </w:rPr>
        <w:t>ered</w:t>
      </w:r>
      <w:r w:rsidRPr="00637861">
        <w:rPr>
          <w:rFonts w:ascii="Times New Roman" w:hAnsi="Times New Roman" w:cs="Times New Roman"/>
          <w:color w:val="000000" w:themeColor="text1"/>
        </w:rPr>
        <w:t xml:space="preserve"> into force. The analysis of green bond documentation was supplemented by 18 semi-structured interviews with lawyers, bankers and representatives of the broader ecosystem (public authorities and civil society organisations).</w:t>
      </w:r>
      <w:r w:rsidRPr="00637861">
        <w:rPr>
          <w:rStyle w:val="Odwoanieprzypisudolnego"/>
          <w:rFonts w:ascii="Times New Roman" w:hAnsi="Times New Roman" w:cs="Times New Roman"/>
          <w:color w:val="000000" w:themeColor="text1"/>
        </w:rPr>
        <w:footnoteReference w:id="50"/>
      </w:r>
      <w:r w:rsidRPr="00637861">
        <w:rPr>
          <w:rFonts w:ascii="Times New Roman" w:hAnsi="Times New Roman" w:cs="Times New Roman"/>
          <w:color w:val="000000" w:themeColor="text1"/>
        </w:rPr>
        <w:t xml:space="preserve"> The interviewees were identified on the basis of their direct involvement in the structuring of green bonds as lawyers or bankers. The insights </w:t>
      </w:r>
      <w:r w:rsidRPr="00637861">
        <w:rPr>
          <w:rFonts w:ascii="Times New Roman" w:hAnsi="Times New Roman" w:cs="Times New Roman"/>
          <w:color w:val="000000" w:themeColor="text1"/>
        </w:rPr>
        <w:lastRenderedPageBreak/>
        <w:t xml:space="preserve">from the interviews were used to probe the validity of the inferences from the comparative legal analysis, e.g. by gauging the market participants’ interpretation of the legal terms and their assessment of the evolution of green bonds over time. </w:t>
      </w:r>
    </w:p>
    <w:p w14:paraId="093E9D34" w14:textId="77777777" w:rsidR="00730D1B" w:rsidRPr="00637861" w:rsidRDefault="00730D1B" w:rsidP="00A05A67">
      <w:pPr>
        <w:spacing w:after="120" w:line="360" w:lineRule="auto"/>
        <w:jc w:val="both"/>
        <w:rPr>
          <w:rFonts w:ascii="Times New Roman" w:hAnsi="Times New Roman" w:cs="Times New Roman"/>
          <w:color w:val="000000" w:themeColor="text1"/>
        </w:rPr>
      </w:pPr>
    </w:p>
    <w:p w14:paraId="56EEBBA2" w14:textId="04F16F3D" w:rsidR="008B50D1" w:rsidRPr="00637861" w:rsidRDefault="008B50D1" w:rsidP="00A05A67">
      <w:pPr>
        <w:pStyle w:val="Nagwek2"/>
        <w:spacing w:before="0" w:after="120" w:line="360" w:lineRule="auto"/>
        <w:ind w:left="360"/>
        <w:jc w:val="both"/>
        <w:rPr>
          <w:rFonts w:ascii="Times New Roman" w:hAnsi="Times New Roman" w:cs="Times New Roman"/>
          <w:b/>
          <w:bCs/>
          <w:color w:val="000000" w:themeColor="text1"/>
          <w:sz w:val="24"/>
          <w:szCs w:val="24"/>
        </w:rPr>
      </w:pPr>
      <w:r w:rsidRPr="00637861">
        <w:rPr>
          <w:rFonts w:ascii="Times New Roman" w:hAnsi="Times New Roman" w:cs="Times New Roman"/>
          <w:b/>
          <w:bCs/>
          <w:color w:val="000000" w:themeColor="text1"/>
          <w:sz w:val="24"/>
          <w:szCs w:val="24"/>
        </w:rPr>
        <w:t>A. Green bond prospectuses and accompanying documentation</w:t>
      </w:r>
    </w:p>
    <w:p w14:paraId="09DB92B1" w14:textId="70EE6C98"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Sustainable finance debt instruments, such as green bonds, are characterised by three key innovations when it comes to the terms of issue included in the prospectus and the accompanying documentation. First</w:t>
      </w:r>
      <w:r w:rsidR="006A5A07">
        <w:rPr>
          <w:rFonts w:ascii="Times New Roman" w:hAnsi="Times New Roman" w:cs="Times New Roman"/>
          <w:color w:val="000000" w:themeColor="text1"/>
        </w:rPr>
        <w:t>ly</w:t>
      </w:r>
      <w:r w:rsidRPr="00637861">
        <w:rPr>
          <w:rFonts w:ascii="Times New Roman" w:hAnsi="Times New Roman" w:cs="Times New Roman"/>
          <w:color w:val="000000" w:themeColor="text1"/>
        </w:rPr>
        <w:t>, the final terms of issue include references to sustainability performance and new types of issuer obligations. Second</w:t>
      </w:r>
      <w:r w:rsidR="006A5A07">
        <w:rPr>
          <w:rFonts w:ascii="Times New Roman" w:hAnsi="Times New Roman" w:cs="Times New Roman"/>
          <w:color w:val="000000" w:themeColor="text1"/>
        </w:rPr>
        <w:t>ly</w:t>
      </w:r>
      <w:r w:rsidRPr="00637861">
        <w:rPr>
          <w:rFonts w:ascii="Times New Roman" w:hAnsi="Times New Roman" w:cs="Times New Roman"/>
          <w:color w:val="000000" w:themeColor="text1"/>
        </w:rPr>
        <w:t xml:space="preserve">, the borrower outlines the disclosure commitments in dedicated sustainable </w:t>
      </w:r>
      <w:r w:rsidR="006A5A07" w:rsidRPr="00637861">
        <w:rPr>
          <w:rFonts w:ascii="Times New Roman" w:hAnsi="Times New Roman" w:cs="Times New Roman"/>
          <w:color w:val="000000" w:themeColor="text1"/>
        </w:rPr>
        <w:t>o</w:t>
      </w:r>
      <w:r w:rsidR="006A5A07">
        <w:rPr>
          <w:rFonts w:ascii="Times New Roman" w:hAnsi="Times New Roman" w:cs="Times New Roman"/>
          <w:color w:val="000000" w:themeColor="text1"/>
        </w:rPr>
        <w:t>r</w:t>
      </w:r>
      <w:r w:rsidR="006A5A07"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green finance frameworks (GBFs) and regular reports. Third</w:t>
      </w:r>
      <w:r w:rsidR="006A5A07">
        <w:rPr>
          <w:rFonts w:ascii="Times New Roman" w:hAnsi="Times New Roman" w:cs="Times New Roman"/>
          <w:color w:val="000000" w:themeColor="text1"/>
        </w:rPr>
        <w:t>ly</w:t>
      </w:r>
      <w:r w:rsidRPr="00637861">
        <w:rPr>
          <w:rFonts w:ascii="Times New Roman" w:hAnsi="Times New Roman" w:cs="Times New Roman"/>
          <w:color w:val="000000" w:themeColor="text1"/>
        </w:rPr>
        <w:t xml:space="preserve">, green bond issuances are accompanied by </w:t>
      </w:r>
      <w:r w:rsidR="006A5A07">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SPOs </w:t>
      </w:r>
      <w:r w:rsidR="00074150">
        <w:rPr>
          <w:rFonts w:ascii="Times New Roman" w:hAnsi="Times New Roman" w:cs="Times New Roman"/>
          <w:color w:val="000000" w:themeColor="text1"/>
        </w:rPr>
        <w:t>by</w:t>
      </w:r>
      <w:r w:rsidR="006A5A07"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external reviewers, </w:t>
      </w:r>
      <w:r w:rsidR="006A5A07">
        <w:rPr>
          <w:rFonts w:ascii="Times New Roman" w:hAnsi="Times New Roman" w:cs="Times New Roman"/>
          <w:color w:val="000000" w:themeColor="text1"/>
        </w:rPr>
        <w:t>which</w:t>
      </w:r>
      <w:r w:rsidR="006A5A07"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are separately disclosed by the issuer and may be referenced in </w:t>
      </w:r>
      <w:r w:rsidR="006A5A07">
        <w:rPr>
          <w:rFonts w:ascii="Times New Roman" w:hAnsi="Times New Roman" w:cs="Times New Roman"/>
          <w:color w:val="000000" w:themeColor="text1"/>
        </w:rPr>
        <w:t xml:space="preserve">the </w:t>
      </w:r>
      <w:r w:rsidR="00C479CE">
        <w:rPr>
          <w:rFonts w:ascii="Times New Roman" w:hAnsi="Times New Roman" w:cs="Times New Roman"/>
          <w:color w:val="000000" w:themeColor="text1"/>
        </w:rPr>
        <w:t>prospectus terms</w:t>
      </w:r>
      <w:r w:rsidRPr="00637861">
        <w:rPr>
          <w:rFonts w:ascii="Times New Roman" w:hAnsi="Times New Roman" w:cs="Times New Roman"/>
          <w:color w:val="000000" w:themeColor="text1"/>
        </w:rPr>
        <w:t xml:space="preserve">. </w:t>
      </w:r>
    </w:p>
    <w:p w14:paraId="5C44B7DC" w14:textId="17994839"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The legal terms of sustainable finance are enshrined in loan contracts and bond indentures. The publicly available bond documentation </w:t>
      </w:r>
      <w:r w:rsidR="0077201B">
        <w:rPr>
          <w:rFonts w:ascii="Times New Roman" w:hAnsi="Times New Roman" w:cs="Times New Roman"/>
          <w:color w:val="000000" w:themeColor="text1"/>
        </w:rPr>
        <w:t>allows to analyse</w:t>
      </w:r>
      <w:r w:rsidRPr="00637861">
        <w:rPr>
          <w:rFonts w:ascii="Times New Roman" w:hAnsi="Times New Roman" w:cs="Times New Roman"/>
          <w:color w:val="000000" w:themeColor="text1"/>
        </w:rPr>
        <w:t xml:space="preserve"> </w:t>
      </w:r>
      <w:r w:rsidR="0007473B" w:rsidRPr="00637861">
        <w:rPr>
          <w:rFonts w:ascii="Times New Roman" w:hAnsi="Times New Roman" w:cs="Times New Roman"/>
          <w:color w:val="000000" w:themeColor="text1"/>
        </w:rPr>
        <w:t xml:space="preserve">how </w:t>
      </w:r>
      <w:r w:rsidRPr="00637861">
        <w:rPr>
          <w:rFonts w:ascii="Times New Roman" w:hAnsi="Times New Roman" w:cs="Times New Roman"/>
          <w:color w:val="000000" w:themeColor="text1"/>
        </w:rPr>
        <w:t>some of the aspects of the legal environment shape the legal terms contained therein. What formal rules, related to contract, corporate or property (investor protection) law</w:t>
      </w:r>
      <w:r w:rsidR="002F2B14">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shape the provisions </w:t>
      </w:r>
      <w:r w:rsidR="002F2B14">
        <w:rPr>
          <w:rFonts w:ascii="Times New Roman" w:hAnsi="Times New Roman" w:cs="Times New Roman"/>
          <w:color w:val="000000" w:themeColor="text1"/>
        </w:rPr>
        <w:t>on</w:t>
      </w:r>
      <w:r w:rsidRPr="00637861">
        <w:rPr>
          <w:rFonts w:ascii="Times New Roman" w:hAnsi="Times New Roman" w:cs="Times New Roman"/>
          <w:color w:val="000000" w:themeColor="text1"/>
        </w:rPr>
        <w:t xml:space="preserve"> sustainability obligations in the terms of financing? How detailed are the definitions of specific sustainability considerations? In what ways do the provisions relate to different stakeholders? </w:t>
      </w:r>
    </w:p>
    <w:p w14:paraId="164A98E0" w14:textId="160ED445" w:rsidR="008B50D1" w:rsidRPr="00637861" w:rsidRDefault="006024E9" w:rsidP="00A05A67">
      <w:pPr>
        <w:spacing w:after="12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A c</w:t>
      </w:r>
      <w:r w:rsidRPr="00637861">
        <w:rPr>
          <w:rFonts w:ascii="Times New Roman" w:hAnsi="Times New Roman" w:cs="Times New Roman"/>
          <w:color w:val="000000" w:themeColor="text1"/>
        </w:rPr>
        <w:t xml:space="preserve">omparative </w:t>
      </w:r>
      <w:r w:rsidR="008B50D1" w:rsidRPr="00637861">
        <w:rPr>
          <w:rFonts w:ascii="Times New Roman" w:hAnsi="Times New Roman" w:cs="Times New Roman"/>
          <w:color w:val="000000" w:themeColor="text1"/>
        </w:rPr>
        <w:t xml:space="preserve">analysis of bond prospectuses reveals </w:t>
      </w:r>
      <w:r>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issuers</w:t>
      </w:r>
      <w:r>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 xml:space="preserve">inconsistent integration of sustainability commitments. From a regulatory legal environment perspective, this </w:t>
      </w:r>
      <w:r w:rsidR="0007473B" w:rsidRPr="00637861">
        <w:rPr>
          <w:rFonts w:ascii="Times New Roman" w:hAnsi="Times New Roman" w:cs="Times New Roman"/>
          <w:color w:val="000000" w:themeColor="text1"/>
        </w:rPr>
        <w:t>suggests</w:t>
      </w:r>
      <w:r w:rsidR="008B50D1" w:rsidRPr="00637861">
        <w:rPr>
          <w:rFonts w:ascii="Times New Roman" w:hAnsi="Times New Roman" w:cs="Times New Roman"/>
          <w:color w:val="000000" w:themeColor="text1"/>
        </w:rPr>
        <w:t xml:space="preserve"> that even where most issuances follow the ICMA</w:t>
      </w:r>
      <w:r>
        <w:rPr>
          <w:rFonts w:ascii="Times New Roman" w:hAnsi="Times New Roman" w:cs="Times New Roman"/>
          <w:color w:val="000000" w:themeColor="text1"/>
        </w:rPr>
        <w:t>’s</w:t>
      </w:r>
      <w:r w:rsidR="008B50D1" w:rsidRPr="00637861">
        <w:rPr>
          <w:rFonts w:ascii="Times New Roman" w:hAnsi="Times New Roman" w:cs="Times New Roman"/>
          <w:color w:val="000000" w:themeColor="text1"/>
        </w:rPr>
        <w:t xml:space="preserve"> </w:t>
      </w:r>
      <w:r>
        <w:rPr>
          <w:rFonts w:ascii="Times New Roman" w:hAnsi="Times New Roman" w:cs="Times New Roman"/>
          <w:color w:val="000000" w:themeColor="text1"/>
        </w:rPr>
        <w:t>G</w:t>
      </w:r>
      <w:r w:rsidRPr="00637861">
        <w:rPr>
          <w:rFonts w:ascii="Times New Roman" w:hAnsi="Times New Roman" w:cs="Times New Roman"/>
          <w:color w:val="000000" w:themeColor="text1"/>
        </w:rPr>
        <w:t xml:space="preserve">reen </w:t>
      </w:r>
      <w:r>
        <w:rPr>
          <w:rFonts w:ascii="Times New Roman" w:hAnsi="Times New Roman" w:cs="Times New Roman"/>
          <w:color w:val="000000" w:themeColor="text1"/>
        </w:rPr>
        <w:t>B</w:t>
      </w:r>
      <w:r w:rsidRPr="00637861">
        <w:rPr>
          <w:rFonts w:ascii="Times New Roman" w:hAnsi="Times New Roman" w:cs="Times New Roman"/>
          <w:color w:val="000000" w:themeColor="text1"/>
        </w:rPr>
        <w:t xml:space="preserve">ond </w:t>
      </w:r>
      <w:r>
        <w:rPr>
          <w:rFonts w:ascii="Times New Roman" w:hAnsi="Times New Roman" w:cs="Times New Roman"/>
          <w:color w:val="000000" w:themeColor="text1"/>
        </w:rPr>
        <w:t>P</w:t>
      </w:r>
      <w:r w:rsidRPr="00637861">
        <w:rPr>
          <w:rFonts w:ascii="Times New Roman" w:hAnsi="Times New Roman" w:cs="Times New Roman"/>
          <w:color w:val="000000" w:themeColor="text1"/>
        </w:rPr>
        <w:t>rinciples</w:t>
      </w:r>
      <w:r w:rsidR="008B50D1" w:rsidRPr="00637861">
        <w:rPr>
          <w:rFonts w:ascii="Times New Roman" w:hAnsi="Times New Roman" w:cs="Times New Roman"/>
          <w:color w:val="000000" w:themeColor="text1"/>
        </w:rPr>
        <w:t xml:space="preserve">, the absence of mandatory rules regarding precisely how </w:t>
      </w:r>
      <w:r>
        <w:rPr>
          <w:rFonts w:ascii="Times New Roman" w:hAnsi="Times New Roman" w:cs="Times New Roman"/>
          <w:color w:val="000000" w:themeColor="text1"/>
        </w:rPr>
        <w:t xml:space="preserve">the </w:t>
      </w:r>
      <w:r w:rsidR="008B50D1" w:rsidRPr="00637861">
        <w:rPr>
          <w:rFonts w:ascii="Times New Roman" w:hAnsi="Times New Roman" w:cs="Times New Roman"/>
          <w:color w:val="000000" w:themeColor="text1"/>
        </w:rPr>
        <w:t xml:space="preserve">sustainability objectives of the issuance relate to the terms of issue creates </w:t>
      </w:r>
      <w:r>
        <w:rPr>
          <w:rFonts w:ascii="Times New Roman" w:hAnsi="Times New Roman" w:cs="Times New Roman"/>
          <w:color w:val="000000" w:themeColor="text1"/>
        </w:rPr>
        <w:t>room</w:t>
      </w:r>
      <w:r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 xml:space="preserve">for very different legal forms. In terms of integrating </w:t>
      </w:r>
      <w:r>
        <w:rPr>
          <w:rFonts w:ascii="Times New Roman" w:hAnsi="Times New Roman" w:cs="Times New Roman"/>
          <w:color w:val="000000" w:themeColor="text1"/>
        </w:rPr>
        <w:t>a</w:t>
      </w:r>
      <w:r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 xml:space="preserve">green bond into the binding elements of </w:t>
      </w:r>
      <w:r>
        <w:rPr>
          <w:rFonts w:ascii="Times New Roman" w:hAnsi="Times New Roman" w:cs="Times New Roman"/>
          <w:color w:val="000000" w:themeColor="text1"/>
        </w:rPr>
        <w:t>a</w:t>
      </w:r>
      <w:r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 xml:space="preserve">bond issue, the </w:t>
      </w:r>
      <w:r w:rsidRPr="00637861">
        <w:rPr>
          <w:rFonts w:ascii="Times New Roman" w:hAnsi="Times New Roman" w:cs="Times New Roman"/>
          <w:color w:val="000000" w:themeColor="text1"/>
        </w:rPr>
        <w:t xml:space="preserve">analysed </w:t>
      </w:r>
      <w:r w:rsidR="008B50D1" w:rsidRPr="00637861">
        <w:rPr>
          <w:rFonts w:ascii="Times New Roman" w:hAnsi="Times New Roman" w:cs="Times New Roman"/>
          <w:color w:val="000000" w:themeColor="text1"/>
        </w:rPr>
        <w:t xml:space="preserve">prospectuses most commonly mention that the green bond use of proceeds is the ‘reason for issue’, or they refer to a </w:t>
      </w:r>
      <w:r w:rsidR="0007473B" w:rsidRPr="00637861">
        <w:rPr>
          <w:rFonts w:ascii="Times New Roman" w:hAnsi="Times New Roman" w:cs="Times New Roman"/>
          <w:color w:val="000000" w:themeColor="text1"/>
        </w:rPr>
        <w:t xml:space="preserve">separate </w:t>
      </w:r>
      <w:r w:rsidR="008B50D1" w:rsidRPr="00637861">
        <w:rPr>
          <w:rFonts w:ascii="Times New Roman" w:hAnsi="Times New Roman" w:cs="Times New Roman"/>
          <w:color w:val="000000" w:themeColor="text1"/>
        </w:rPr>
        <w:t xml:space="preserve">‘use of proceeds’ section </w:t>
      </w:r>
      <w:r>
        <w:rPr>
          <w:rFonts w:ascii="Times New Roman" w:hAnsi="Times New Roman" w:cs="Times New Roman"/>
          <w:color w:val="000000" w:themeColor="text1"/>
        </w:rPr>
        <w:t xml:space="preserve">which </w:t>
      </w:r>
      <w:r w:rsidRPr="00637861">
        <w:rPr>
          <w:rFonts w:ascii="Times New Roman" w:hAnsi="Times New Roman" w:cs="Times New Roman"/>
          <w:color w:val="000000" w:themeColor="text1"/>
        </w:rPr>
        <w:t>clarif</w:t>
      </w:r>
      <w:r>
        <w:rPr>
          <w:rFonts w:ascii="Times New Roman" w:hAnsi="Times New Roman" w:cs="Times New Roman"/>
          <w:color w:val="000000" w:themeColor="text1"/>
        </w:rPr>
        <w:t>ies</w:t>
      </w:r>
      <w:r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 xml:space="preserve">that the proceeds (or an </w:t>
      </w:r>
      <w:r w:rsidRPr="00637861">
        <w:rPr>
          <w:rFonts w:ascii="Times New Roman" w:hAnsi="Times New Roman" w:cs="Times New Roman"/>
          <w:color w:val="000000" w:themeColor="text1"/>
        </w:rPr>
        <w:t>equ</w:t>
      </w:r>
      <w:r>
        <w:rPr>
          <w:rFonts w:ascii="Times New Roman" w:hAnsi="Times New Roman" w:cs="Times New Roman"/>
          <w:color w:val="000000" w:themeColor="text1"/>
        </w:rPr>
        <w:t>ivalent</w:t>
      </w:r>
      <w:r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amount) will be used to finance green projects in the disclosed bond terms. The level of commitment varies: generally, issuers ‘will’ use the proceeds to finance eligible green projects, although several issuers use lighter language, for example</w:t>
      </w:r>
      <w:r>
        <w:rPr>
          <w:rFonts w:ascii="Times New Roman" w:hAnsi="Times New Roman" w:cs="Times New Roman"/>
          <w:color w:val="000000" w:themeColor="text1"/>
        </w:rPr>
        <w:t>,</w:t>
      </w:r>
      <w:r w:rsidR="008B50D1" w:rsidRPr="00637861">
        <w:rPr>
          <w:rFonts w:ascii="Times New Roman" w:hAnsi="Times New Roman" w:cs="Times New Roman"/>
          <w:color w:val="000000" w:themeColor="text1"/>
        </w:rPr>
        <w:t xml:space="preserve"> refer</w:t>
      </w:r>
      <w:r>
        <w:rPr>
          <w:rFonts w:ascii="Times New Roman" w:hAnsi="Times New Roman" w:cs="Times New Roman"/>
          <w:color w:val="000000" w:themeColor="text1"/>
        </w:rPr>
        <w:t>r</w:t>
      </w:r>
      <w:r w:rsidR="008B50D1" w:rsidRPr="00637861">
        <w:rPr>
          <w:rFonts w:ascii="Times New Roman" w:hAnsi="Times New Roman" w:cs="Times New Roman"/>
          <w:color w:val="000000" w:themeColor="text1"/>
        </w:rPr>
        <w:t xml:space="preserve">ing </w:t>
      </w:r>
      <w:r w:rsidR="008B50D1" w:rsidRPr="00637861">
        <w:rPr>
          <w:rFonts w:ascii="Times New Roman" w:hAnsi="Times New Roman" w:cs="Times New Roman"/>
          <w:color w:val="000000" w:themeColor="text1"/>
        </w:rPr>
        <w:lastRenderedPageBreak/>
        <w:t>to an ‘intention’</w:t>
      </w:r>
      <w:r w:rsidR="008B50D1" w:rsidRPr="00637861">
        <w:rPr>
          <w:rStyle w:val="Odwoanieprzypisudolnego"/>
          <w:rFonts w:ascii="Times New Roman" w:hAnsi="Times New Roman" w:cs="Times New Roman"/>
          <w:color w:val="000000" w:themeColor="text1"/>
        </w:rPr>
        <w:footnoteReference w:id="51"/>
      </w:r>
      <w:r w:rsidR="008B50D1" w:rsidRPr="00637861">
        <w:rPr>
          <w:rFonts w:ascii="Times New Roman" w:hAnsi="Times New Roman" w:cs="Times New Roman"/>
          <w:color w:val="000000" w:themeColor="text1"/>
        </w:rPr>
        <w:t xml:space="preserve"> or explicitly allowing for the fungibility of funds.</w:t>
      </w:r>
      <w:r w:rsidR="008B50D1" w:rsidRPr="00637861">
        <w:rPr>
          <w:rStyle w:val="Odwoanieprzypisudolnego"/>
          <w:rFonts w:ascii="Times New Roman" w:hAnsi="Times New Roman" w:cs="Times New Roman"/>
          <w:color w:val="000000" w:themeColor="text1"/>
        </w:rPr>
        <w:footnoteReference w:id="52"/>
      </w:r>
      <w:r w:rsidR="008B50D1" w:rsidRPr="00637861">
        <w:rPr>
          <w:rFonts w:ascii="Times New Roman" w:hAnsi="Times New Roman" w:cs="Times New Roman"/>
          <w:color w:val="000000" w:themeColor="text1"/>
        </w:rPr>
        <w:t xml:space="preserve"> Only in five Polish bond issues </w:t>
      </w:r>
      <w:r>
        <w:rPr>
          <w:rFonts w:ascii="Times New Roman" w:hAnsi="Times New Roman" w:cs="Times New Roman"/>
          <w:color w:val="000000" w:themeColor="text1"/>
        </w:rPr>
        <w:t>wa</w:t>
      </w:r>
      <w:r w:rsidRPr="00637861">
        <w:rPr>
          <w:rFonts w:ascii="Times New Roman" w:hAnsi="Times New Roman" w:cs="Times New Roman"/>
          <w:color w:val="000000" w:themeColor="text1"/>
        </w:rPr>
        <w:t xml:space="preserve">s </w:t>
      </w:r>
      <w:r w:rsidR="008B50D1" w:rsidRPr="00637861">
        <w:rPr>
          <w:rFonts w:ascii="Times New Roman" w:hAnsi="Times New Roman" w:cs="Times New Roman"/>
          <w:color w:val="000000" w:themeColor="text1"/>
        </w:rPr>
        <w:t xml:space="preserve">the green use of proceeds identified as a legally binding ‘purpose of issue’. In one case this </w:t>
      </w:r>
      <w:r>
        <w:rPr>
          <w:rFonts w:ascii="Times New Roman" w:hAnsi="Times New Roman" w:cs="Times New Roman"/>
          <w:color w:val="000000" w:themeColor="text1"/>
        </w:rPr>
        <w:t>wa</w:t>
      </w:r>
      <w:r w:rsidRPr="00637861">
        <w:rPr>
          <w:rFonts w:ascii="Times New Roman" w:hAnsi="Times New Roman" w:cs="Times New Roman"/>
          <w:color w:val="000000" w:themeColor="text1"/>
        </w:rPr>
        <w:t xml:space="preserve">s </w:t>
      </w:r>
      <w:r w:rsidR="008B50D1" w:rsidRPr="00637861">
        <w:rPr>
          <w:rFonts w:ascii="Times New Roman" w:hAnsi="Times New Roman" w:cs="Times New Roman"/>
          <w:color w:val="000000" w:themeColor="text1"/>
        </w:rPr>
        <w:t>supplemented with a Supervisory Board resolution that further shores up the commitment.</w:t>
      </w:r>
      <w:r w:rsidR="008B50D1" w:rsidRPr="00637861">
        <w:rPr>
          <w:rStyle w:val="Odwoanieprzypisudolnego"/>
          <w:rFonts w:ascii="Times New Roman" w:hAnsi="Times New Roman" w:cs="Times New Roman"/>
          <w:color w:val="000000" w:themeColor="text1"/>
        </w:rPr>
        <w:footnoteReference w:id="53"/>
      </w:r>
      <w:r w:rsidR="008B50D1" w:rsidRPr="00637861">
        <w:rPr>
          <w:rFonts w:ascii="Times New Roman" w:hAnsi="Times New Roman" w:cs="Times New Roman"/>
          <w:color w:val="000000" w:themeColor="text1"/>
        </w:rPr>
        <w:t xml:space="preserve"> Such strong legal encasing of the commitment stems from local investor protection laws which foresee criminal sanctions for </w:t>
      </w:r>
      <w:r w:rsidRPr="00637861">
        <w:rPr>
          <w:rFonts w:ascii="Times New Roman" w:hAnsi="Times New Roman" w:cs="Times New Roman"/>
          <w:color w:val="000000" w:themeColor="text1"/>
        </w:rPr>
        <w:t>deviati</w:t>
      </w:r>
      <w:r>
        <w:rPr>
          <w:rFonts w:ascii="Times New Roman" w:hAnsi="Times New Roman" w:cs="Times New Roman"/>
          <w:color w:val="000000" w:themeColor="text1"/>
        </w:rPr>
        <w:t>ng</w:t>
      </w:r>
      <w:r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 xml:space="preserve">from </w:t>
      </w:r>
      <w:r>
        <w:rPr>
          <w:rFonts w:ascii="Times New Roman" w:hAnsi="Times New Roman" w:cs="Times New Roman"/>
          <w:color w:val="000000" w:themeColor="text1"/>
        </w:rPr>
        <w:t xml:space="preserve">the </w:t>
      </w:r>
      <w:r w:rsidR="008B50D1" w:rsidRPr="00637861">
        <w:rPr>
          <w:rFonts w:ascii="Times New Roman" w:hAnsi="Times New Roman" w:cs="Times New Roman"/>
          <w:color w:val="000000" w:themeColor="text1"/>
        </w:rPr>
        <w:t>stated purpose of issue. For sustainability-linked debt, where the achievement of specific targets is linked to structural features, the provisions are more detailed across jurisdictions.</w:t>
      </w:r>
      <w:r w:rsidR="008B50D1" w:rsidRPr="00637861">
        <w:rPr>
          <w:rStyle w:val="Odwoanieprzypisudolnego"/>
          <w:rFonts w:ascii="Times New Roman" w:hAnsi="Times New Roman" w:cs="Times New Roman"/>
          <w:color w:val="000000" w:themeColor="text1"/>
        </w:rPr>
        <w:footnoteReference w:id="54"/>
      </w:r>
    </w:p>
    <w:p w14:paraId="37D8311E" w14:textId="262B84D4"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From a regulatory perspective, the legal environment plays a role in </w:t>
      </w:r>
      <w:r w:rsidR="006024E9">
        <w:rPr>
          <w:rFonts w:ascii="Times New Roman" w:hAnsi="Times New Roman" w:cs="Times New Roman"/>
          <w:color w:val="000000" w:themeColor="text1"/>
        </w:rPr>
        <w:t>shield</w:t>
      </w:r>
      <w:r w:rsidR="006024E9" w:rsidRPr="00637861">
        <w:rPr>
          <w:rFonts w:ascii="Times New Roman" w:hAnsi="Times New Roman" w:cs="Times New Roman"/>
          <w:color w:val="000000" w:themeColor="text1"/>
        </w:rPr>
        <w:t xml:space="preserve">ing </w:t>
      </w:r>
      <w:r w:rsidRPr="00637861">
        <w:rPr>
          <w:rFonts w:ascii="Times New Roman" w:hAnsi="Times New Roman" w:cs="Times New Roman"/>
          <w:color w:val="000000" w:themeColor="text1"/>
        </w:rPr>
        <w:t xml:space="preserve">the terms of issue </w:t>
      </w:r>
      <w:r w:rsidRPr="00637861">
        <w:rPr>
          <w:rFonts w:ascii="Times New Roman" w:hAnsi="Times New Roman" w:cs="Times New Roman"/>
          <w:i/>
          <w:iCs/>
          <w:color w:val="000000" w:themeColor="text1"/>
        </w:rPr>
        <w:t>against</w:t>
      </w:r>
      <w:r w:rsidRPr="00637861">
        <w:rPr>
          <w:rFonts w:ascii="Times New Roman" w:hAnsi="Times New Roman" w:cs="Times New Roman"/>
          <w:color w:val="000000" w:themeColor="text1"/>
        </w:rPr>
        <w:t xml:space="preserve"> the sustainability commitments</w:t>
      </w:r>
      <w:r w:rsidR="00F50E0D">
        <w:rPr>
          <w:rFonts w:ascii="Times New Roman" w:hAnsi="Times New Roman" w:cs="Times New Roman"/>
          <w:color w:val="000000" w:themeColor="text1"/>
        </w:rPr>
        <w:t xml:space="preserve"> limiting the liability of the issuer for underperformance in this regard</w:t>
      </w:r>
      <w:r w:rsidRPr="00637861">
        <w:rPr>
          <w:rFonts w:ascii="Times New Roman" w:hAnsi="Times New Roman" w:cs="Times New Roman"/>
          <w:color w:val="000000" w:themeColor="text1"/>
        </w:rPr>
        <w:t xml:space="preserve">, </w:t>
      </w:r>
      <w:r w:rsidR="006024E9">
        <w:rPr>
          <w:rFonts w:ascii="Times New Roman" w:hAnsi="Times New Roman" w:cs="Times New Roman"/>
          <w:color w:val="000000" w:themeColor="text1"/>
        </w:rPr>
        <w:t>as</w:t>
      </w:r>
      <w:r w:rsidR="006024E9"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the green bond prospectuses are rife with waivers and disclaimers. Such disclaimers focus especially on clarif</w:t>
      </w:r>
      <w:r w:rsidR="006024E9">
        <w:rPr>
          <w:rFonts w:ascii="Times New Roman" w:hAnsi="Times New Roman" w:cs="Times New Roman"/>
          <w:color w:val="000000" w:themeColor="text1"/>
        </w:rPr>
        <w:t>ying</w:t>
      </w:r>
      <w:r w:rsidRPr="00637861">
        <w:rPr>
          <w:rFonts w:ascii="Times New Roman" w:hAnsi="Times New Roman" w:cs="Times New Roman"/>
          <w:color w:val="000000" w:themeColor="text1"/>
        </w:rPr>
        <w:t xml:space="preserve"> the limited scope of ‘forward-looking’ statements, </w:t>
      </w:r>
      <w:r w:rsidR="00445A69">
        <w:rPr>
          <w:rFonts w:ascii="Times New Roman" w:hAnsi="Times New Roman" w:cs="Times New Roman"/>
          <w:color w:val="000000" w:themeColor="text1"/>
        </w:rPr>
        <w:t>the possibility of not meeting</w:t>
      </w:r>
      <w:r w:rsidRPr="00637861">
        <w:rPr>
          <w:rFonts w:ascii="Times New Roman" w:hAnsi="Times New Roman" w:cs="Times New Roman"/>
          <w:color w:val="000000" w:themeColor="text1"/>
        </w:rPr>
        <w:t xml:space="preserve"> investor expectations regarding environmental performance and limiting </w:t>
      </w:r>
      <w:r w:rsidR="006024E9" w:rsidRPr="00637861">
        <w:rPr>
          <w:rFonts w:ascii="Times New Roman" w:hAnsi="Times New Roman" w:cs="Times New Roman"/>
          <w:color w:val="000000" w:themeColor="text1"/>
        </w:rPr>
        <w:t>the borrower</w:t>
      </w:r>
      <w:r w:rsidR="006024E9">
        <w:rPr>
          <w:rFonts w:ascii="Times New Roman" w:hAnsi="Times New Roman" w:cs="Times New Roman"/>
          <w:color w:val="000000" w:themeColor="text1"/>
        </w:rPr>
        <w:t>’s</w:t>
      </w:r>
      <w:r w:rsidR="006024E9"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liability for future contingencies.</w:t>
      </w:r>
      <w:r w:rsidRPr="00637861">
        <w:rPr>
          <w:rStyle w:val="Odwoanieprzypisudolnego"/>
          <w:rFonts w:ascii="Times New Roman" w:hAnsi="Times New Roman" w:cs="Times New Roman"/>
          <w:color w:val="000000" w:themeColor="text1"/>
        </w:rPr>
        <w:footnoteReference w:id="55"/>
      </w:r>
      <w:r w:rsidRPr="00637861">
        <w:rPr>
          <w:rFonts w:ascii="Times New Roman" w:hAnsi="Times New Roman" w:cs="Times New Roman"/>
          <w:color w:val="000000" w:themeColor="text1"/>
        </w:rPr>
        <w:t xml:space="preserve"> The waivers insulate </w:t>
      </w:r>
      <w:r w:rsidR="006024E9" w:rsidRPr="00637861">
        <w:rPr>
          <w:rFonts w:ascii="Times New Roman" w:hAnsi="Times New Roman" w:cs="Times New Roman"/>
          <w:color w:val="000000" w:themeColor="text1"/>
        </w:rPr>
        <w:t xml:space="preserve">from liability </w:t>
      </w:r>
      <w:r w:rsidRPr="00637861">
        <w:rPr>
          <w:rFonts w:ascii="Times New Roman" w:hAnsi="Times New Roman" w:cs="Times New Roman"/>
          <w:color w:val="000000" w:themeColor="text1"/>
        </w:rPr>
        <w:t xml:space="preserve">the issuer, dealers </w:t>
      </w:r>
      <w:r w:rsidR="006024E9">
        <w:rPr>
          <w:rFonts w:ascii="Times New Roman" w:hAnsi="Times New Roman" w:cs="Times New Roman"/>
          <w:color w:val="000000" w:themeColor="text1"/>
        </w:rPr>
        <w:t>and</w:t>
      </w:r>
      <w:r w:rsidRPr="00637861">
        <w:rPr>
          <w:rFonts w:ascii="Times New Roman" w:hAnsi="Times New Roman" w:cs="Times New Roman"/>
          <w:color w:val="000000" w:themeColor="text1"/>
        </w:rPr>
        <w:t xml:space="preserve"> providers of external verification services,</w:t>
      </w:r>
      <w:r w:rsidRPr="00637861">
        <w:rPr>
          <w:rStyle w:val="Odwoanieprzypisudolnego"/>
          <w:rFonts w:ascii="Times New Roman" w:hAnsi="Times New Roman" w:cs="Times New Roman"/>
          <w:color w:val="000000" w:themeColor="text1"/>
        </w:rPr>
        <w:footnoteReference w:id="56"/>
      </w:r>
      <w:r w:rsidRPr="00637861">
        <w:rPr>
          <w:rFonts w:ascii="Times New Roman" w:hAnsi="Times New Roman" w:cs="Times New Roman"/>
          <w:color w:val="000000" w:themeColor="text1"/>
        </w:rPr>
        <w:t xml:space="preserve"> although the disclaimers </w:t>
      </w:r>
      <w:r w:rsidR="006024E9">
        <w:rPr>
          <w:rFonts w:ascii="Times New Roman" w:hAnsi="Times New Roman" w:cs="Times New Roman"/>
          <w:color w:val="000000" w:themeColor="text1"/>
        </w:rPr>
        <w:t>are</w:t>
      </w:r>
      <w:r w:rsidR="006024E9"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much </w:t>
      </w:r>
      <w:r w:rsidR="006024E9">
        <w:rPr>
          <w:rFonts w:ascii="Times New Roman" w:hAnsi="Times New Roman" w:cs="Times New Roman"/>
          <w:color w:val="000000" w:themeColor="text1"/>
        </w:rPr>
        <w:t xml:space="preserve">more </w:t>
      </w:r>
      <w:r w:rsidR="006024E9" w:rsidRPr="00637861">
        <w:rPr>
          <w:rFonts w:ascii="Times New Roman" w:hAnsi="Times New Roman" w:cs="Times New Roman"/>
          <w:color w:val="000000" w:themeColor="text1"/>
        </w:rPr>
        <w:t>detail</w:t>
      </w:r>
      <w:r w:rsidR="006024E9">
        <w:rPr>
          <w:rFonts w:ascii="Times New Roman" w:hAnsi="Times New Roman" w:cs="Times New Roman"/>
          <w:color w:val="000000" w:themeColor="text1"/>
        </w:rPr>
        <w:t>ed</w:t>
      </w:r>
      <w:r w:rsidRPr="00637861">
        <w:rPr>
          <w:rFonts w:ascii="Times New Roman" w:hAnsi="Times New Roman" w:cs="Times New Roman"/>
          <w:color w:val="000000" w:themeColor="text1"/>
        </w:rPr>
        <w:t xml:space="preserve"> in the context of developed financial markets (e.g. Sweden or Netherlands) than </w:t>
      </w:r>
      <w:r w:rsidR="006024E9">
        <w:rPr>
          <w:rFonts w:ascii="Times New Roman" w:hAnsi="Times New Roman" w:cs="Times New Roman"/>
          <w:color w:val="000000" w:themeColor="text1"/>
        </w:rPr>
        <w:t xml:space="preserve">in </w:t>
      </w:r>
      <w:r w:rsidRPr="00637861">
        <w:rPr>
          <w:rFonts w:ascii="Times New Roman" w:hAnsi="Times New Roman" w:cs="Times New Roman"/>
          <w:color w:val="000000" w:themeColor="text1"/>
        </w:rPr>
        <w:t>less developed ones (e.g. Poland).</w:t>
      </w:r>
      <w:r w:rsidRPr="00637861">
        <w:rPr>
          <w:rFonts w:ascii="Times New Roman" w:hAnsi="Times New Roman" w:cs="Times New Roman"/>
        </w:rPr>
        <w:t xml:space="preserve"> </w:t>
      </w:r>
    </w:p>
    <w:p w14:paraId="49E4CD2E" w14:textId="068723DD" w:rsidR="008B50D1" w:rsidRPr="00637861" w:rsidRDefault="0007473B"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T</w:t>
      </w:r>
      <w:r w:rsidR="008B50D1" w:rsidRPr="00637861">
        <w:rPr>
          <w:rFonts w:ascii="Times New Roman" w:hAnsi="Times New Roman" w:cs="Times New Roman"/>
          <w:color w:val="000000" w:themeColor="text1"/>
        </w:rPr>
        <w:t xml:space="preserve">he constitutive legal environment, relating to how the understanding around </w:t>
      </w:r>
      <w:r w:rsidR="0013291E">
        <w:rPr>
          <w:rFonts w:ascii="Times New Roman" w:hAnsi="Times New Roman" w:cs="Times New Roman"/>
          <w:color w:val="000000" w:themeColor="text1"/>
        </w:rPr>
        <w:t>the</w:t>
      </w:r>
      <w:r w:rsidR="0013291E"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sustainability</w:t>
      </w:r>
      <w:r w:rsidR="0013291E">
        <w:rPr>
          <w:rFonts w:ascii="Times New Roman" w:hAnsi="Times New Roman" w:cs="Times New Roman"/>
          <w:color w:val="000000" w:themeColor="text1"/>
        </w:rPr>
        <w:t xml:space="preserve"> features of</w:t>
      </w:r>
      <w:r w:rsidR="008B50D1" w:rsidRPr="00637861">
        <w:rPr>
          <w:rFonts w:ascii="Times New Roman" w:hAnsi="Times New Roman" w:cs="Times New Roman"/>
          <w:color w:val="000000" w:themeColor="text1"/>
        </w:rPr>
        <w:t xml:space="preserve"> projects is constructed</w:t>
      </w:r>
      <w:r w:rsidR="00531E8F">
        <w:rPr>
          <w:rFonts w:ascii="Times New Roman" w:hAnsi="Times New Roman" w:cs="Times New Roman"/>
          <w:color w:val="000000" w:themeColor="text1"/>
        </w:rPr>
        <w:t xml:space="preserve"> and shared</w:t>
      </w:r>
      <w:r w:rsidR="0013291E">
        <w:rPr>
          <w:rFonts w:ascii="Times New Roman" w:hAnsi="Times New Roman" w:cs="Times New Roman"/>
          <w:color w:val="000000" w:themeColor="text1"/>
        </w:rPr>
        <w:t xml:space="preserve"> by the stakeholder involved</w:t>
      </w:r>
      <w:r w:rsidR="008B50D1" w:rsidRPr="00637861">
        <w:rPr>
          <w:rFonts w:ascii="Times New Roman" w:hAnsi="Times New Roman" w:cs="Times New Roman"/>
          <w:color w:val="000000" w:themeColor="text1"/>
        </w:rPr>
        <w:t xml:space="preserve">, appears highly fragmented. Few issuers include specific definitions </w:t>
      </w:r>
      <w:r w:rsidRPr="00637861">
        <w:rPr>
          <w:rFonts w:ascii="Times New Roman" w:hAnsi="Times New Roman" w:cs="Times New Roman"/>
          <w:color w:val="000000" w:themeColor="text1"/>
        </w:rPr>
        <w:t xml:space="preserve">of environmental considerations </w:t>
      </w:r>
      <w:r w:rsidR="008B50D1" w:rsidRPr="00637861">
        <w:rPr>
          <w:rFonts w:ascii="Times New Roman" w:hAnsi="Times New Roman" w:cs="Times New Roman"/>
          <w:color w:val="000000" w:themeColor="text1"/>
        </w:rPr>
        <w:t xml:space="preserve">in the terms of issue or refer to EU rules </w:t>
      </w:r>
      <w:r w:rsidR="00E37E85">
        <w:rPr>
          <w:rFonts w:ascii="Times New Roman" w:hAnsi="Times New Roman" w:cs="Times New Roman"/>
          <w:color w:val="000000" w:themeColor="text1"/>
        </w:rPr>
        <w:t xml:space="preserve">that </w:t>
      </w:r>
      <w:r w:rsidR="00E37E85" w:rsidRPr="00637861">
        <w:rPr>
          <w:rFonts w:ascii="Times New Roman" w:hAnsi="Times New Roman" w:cs="Times New Roman"/>
          <w:color w:val="000000" w:themeColor="text1"/>
        </w:rPr>
        <w:t>includ</w:t>
      </w:r>
      <w:r w:rsidR="00E37E85">
        <w:rPr>
          <w:rFonts w:ascii="Times New Roman" w:hAnsi="Times New Roman" w:cs="Times New Roman"/>
          <w:color w:val="000000" w:themeColor="text1"/>
        </w:rPr>
        <w:t>e</w:t>
      </w:r>
      <w:r w:rsidR="00E37E85"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 xml:space="preserve">such definitions. In fact, many bond issues include phrasing in which the issuers emphasise that there is no common understanding of what activities are sustainable, only to follow this statement with a reference to the EU taxonomy. For example, in one Swedish </w:t>
      </w:r>
      <w:r w:rsidR="00E118C3">
        <w:rPr>
          <w:rFonts w:ascii="Times New Roman" w:hAnsi="Times New Roman" w:cs="Times New Roman"/>
          <w:color w:val="000000" w:themeColor="text1"/>
        </w:rPr>
        <w:t>bond issue,</w:t>
      </w:r>
      <w:r w:rsidR="00E118C3" w:rsidRPr="00637861">
        <w:rPr>
          <w:rFonts w:ascii="Times New Roman" w:hAnsi="Times New Roman" w:cs="Times New Roman"/>
          <w:color w:val="000000" w:themeColor="text1"/>
        </w:rPr>
        <w:t xml:space="preserve"> </w:t>
      </w:r>
      <w:r w:rsidR="00E118C3">
        <w:rPr>
          <w:rFonts w:ascii="Times New Roman" w:hAnsi="Times New Roman" w:cs="Times New Roman"/>
          <w:color w:val="000000" w:themeColor="text1"/>
        </w:rPr>
        <w:t>a</w:t>
      </w:r>
      <w:r w:rsidR="00E118C3"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reference to t</w:t>
      </w:r>
      <w:r w:rsidR="008B50D1" w:rsidRPr="00637861">
        <w:rPr>
          <w:rFonts w:ascii="Times New Roman" w:hAnsi="Times New Roman" w:cs="Times New Roman"/>
        </w:rPr>
        <w:t xml:space="preserve">he EUGBR and the EU Green Taxonomy is followed by a statement that ‘both of these initiatives are still under development and it is not clear to what extent they, or other developments in market practices or regulatory requirements in the area, will impact the Green Terms and/or the </w:t>
      </w:r>
      <w:r w:rsidR="008B50D1" w:rsidRPr="00637861">
        <w:rPr>
          <w:rFonts w:ascii="Times New Roman" w:hAnsi="Times New Roman" w:cs="Times New Roman"/>
        </w:rPr>
        <w:lastRenderedPageBreak/>
        <w:t>Company.’</w:t>
      </w:r>
      <w:r w:rsidR="008B50D1" w:rsidRPr="00637861">
        <w:rPr>
          <w:rStyle w:val="Odwoanieprzypisudolnego"/>
          <w:rFonts w:ascii="Times New Roman" w:hAnsi="Times New Roman" w:cs="Times New Roman"/>
        </w:rPr>
        <w:footnoteReference w:id="57"/>
      </w:r>
      <w:r w:rsidR="008B50D1" w:rsidRPr="00637861">
        <w:rPr>
          <w:rFonts w:ascii="Times New Roman" w:hAnsi="Times New Roman" w:cs="Times New Roman"/>
        </w:rPr>
        <w:t xml:space="preserve"> </w:t>
      </w:r>
      <w:r w:rsidR="008B50D1" w:rsidRPr="00637861">
        <w:rPr>
          <w:rFonts w:ascii="Times New Roman" w:hAnsi="Times New Roman" w:cs="Times New Roman"/>
          <w:color w:val="000000" w:themeColor="text1"/>
        </w:rPr>
        <w:t xml:space="preserve">Similar wording is found in most of the bond issues from multinational firms. </w:t>
      </w:r>
    </w:p>
    <w:p w14:paraId="26EA9AAE" w14:textId="169E8008"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Moreover, references to what issuers mean by sustainability is often found in greatest detail in the </w:t>
      </w:r>
      <w:r w:rsidRPr="00637861">
        <w:rPr>
          <w:rFonts w:ascii="Times New Roman" w:hAnsi="Times New Roman" w:cs="Times New Roman"/>
          <w:i/>
          <w:iCs/>
          <w:color w:val="000000" w:themeColor="text1"/>
        </w:rPr>
        <w:t>risk</w:t>
      </w:r>
      <w:r w:rsidRPr="00637861">
        <w:rPr>
          <w:rFonts w:ascii="Times New Roman" w:hAnsi="Times New Roman" w:cs="Times New Roman"/>
          <w:color w:val="000000" w:themeColor="text1"/>
        </w:rPr>
        <w:t xml:space="preserve"> section of the prospectus, rather than the sections that outline the purpose for seeking financing. Here, sustainability definitions are </w:t>
      </w:r>
      <w:r w:rsidR="00A14BBE">
        <w:rPr>
          <w:rFonts w:ascii="Times New Roman" w:hAnsi="Times New Roman" w:cs="Times New Roman"/>
          <w:color w:val="000000" w:themeColor="text1"/>
        </w:rPr>
        <w:t xml:space="preserve">at times </w:t>
      </w:r>
      <w:r w:rsidR="00B248E0">
        <w:rPr>
          <w:rFonts w:ascii="Times New Roman" w:hAnsi="Times New Roman" w:cs="Times New Roman"/>
          <w:color w:val="000000" w:themeColor="text1"/>
        </w:rPr>
        <w:t>even</w:t>
      </w:r>
      <w:r w:rsidRPr="00637861">
        <w:rPr>
          <w:rFonts w:ascii="Times New Roman" w:hAnsi="Times New Roman" w:cs="Times New Roman"/>
          <w:color w:val="000000" w:themeColor="text1"/>
        </w:rPr>
        <w:t xml:space="preserve"> considered to be a risk factor. The Swedish company </w:t>
      </w:r>
      <w:proofErr w:type="spellStart"/>
      <w:r w:rsidRPr="00637861">
        <w:rPr>
          <w:rFonts w:ascii="Times New Roman" w:hAnsi="Times New Roman" w:cs="Times New Roman"/>
          <w:color w:val="000000" w:themeColor="text1"/>
        </w:rPr>
        <w:t>Cibius</w:t>
      </w:r>
      <w:proofErr w:type="spellEnd"/>
      <w:r w:rsidR="001C17C4" w:rsidRPr="00637861">
        <w:rPr>
          <w:rFonts w:ascii="Times New Roman" w:hAnsi="Times New Roman" w:cs="Times New Roman"/>
          <w:color w:val="000000" w:themeColor="text1"/>
        </w:rPr>
        <w:t>, for example,</w:t>
      </w:r>
      <w:r w:rsidRPr="00637861">
        <w:rPr>
          <w:rFonts w:ascii="Times New Roman" w:hAnsi="Times New Roman" w:cs="Times New Roman"/>
          <w:color w:val="000000" w:themeColor="text1"/>
        </w:rPr>
        <w:t xml:space="preserve"> in its 2024 prospectus alert</w:t>
      </w:r>
      <w:r w:rsidR="0007473B" w:rsidRPr="00637861">
        <w:rPr>
          <w:rFonts w:ascii="Times New Roman" w:hAnsi="Times New Roman" w:cs="Times New Roman"/>
          <w:color w:val="000000" w:themeColor="text1"/>
        </w:rPr>
        <w:t>s</w:t>
      </w:r>
      <w:r w:rsidRPr="00637861">
        <w:rPr>
          <w:rFonts w:ascii="Times New Roman" w:hAnsi="Times New Roman" w:cs="Times New Roman"/>
          <w:color w:val="000000" w:themeColor="text1"/>
        </w:rPr>
        <w:t xml:space="preserve"> potential investors to the losses that non-compliance with EU regulations can bring about in directly financial or reputational terms, even while making tentative pledges to comply with the standard.</w:t>
      </w:r>
      <w:r w:rsidRPr="00637861">
        <w:rPr>
          <w:rStyle w:val="Odwoanieprzypisudolnego"/>
          <w:rFonts w:ascii="Times New Roman" w:hAnsi="Times New Roman" w:cs="Times New Roman"/>
          <w:color w:val="000000" w:themeColor="text1"/>
        </w:rPr>
        <w:footnoteReference w:id="58"/>
      </w:r>
      <w:r w:rsidRPr="00637861">
        <w:rPr>
          <w:rFonts w:ascii="Times New Roman" w:hAnsi="Times New Roman" w:cs="Times New Roman"/>
          <w:color w:val="000000" w:themeColor="text1"/>
        </w:rPr>
        <w:t xml:space="preserve"> </w:t>
      </w:r>
      <w:r w:rsidR="00E118C3">
        <w:rPr>
          <w:rFonts w:ascii="Times New Roman" w:hAnsi="Times New Roman" w:cs="Times New Roman"/>
          <w:color w:val="000000" w:themeColor="text1"/>
        </w:rPr>
        <w:t>It</w:t>
      </w:r>
      <w:r w:rsidR="00E118C3" w:rsidRPr="00637861">
        <w:rPr>
          <w:rFonts w:ascii="Times New Roman" w:hAnsi="Times New Roman" w:cs="Times New Roman"/>
          <w:color w:val="000000" w:themeColor="text1"/>
        </w:rPr>
        <w:t xml:space="preserve"> appears easier </w:t>
      </w:r>
      <w:r w:rsidR="00E118C3">
        <w:rPr>
          <w:rFonts w:ascii="Times New Roman" w:hAnsi="Times New Roman" w:cs="Times New Roman"/>
          <w:color w:val="000000" w:themeColor="text1"/>
        </w:rPr>
        <w:t xml:space="preserve">to </w:t>
      </w:r>
      <w:r w:rsidRPr="00637861">
        <w:rPr>
          <w:rFonts w:ascii="Times New Roman" w:hAnsi="Times New Roman" w:cs="Times New Roman"/>
          <w:color w:val="000000" w:themeColor="text1"/>
        </w:rPr>
        <w:t>appl</w:t>
      </w:r>
      <w:r w:rsidR="00E118C3">
        <w:rPr>
          <w:rFonts w:ascii="Times New Roman" w:hAnsi="Times New Roman" w:cs="Times New Roman"/>
          <w:color w:val="000000" w:themeColor="text1"/>
        </w:rPr>
        <w:t>y</w:t>
      </w:r>
      <w:r w:rsidRPr="00637861">
        <w:rPr>
          <w:rFonts w:ascii="Times New Roman" w:hAnsi="Times New Roman" w:cs="Times New Roman"/>
          <w:color w:val="000000" w:themeColor="text1"/>
        </w:rPr>
        <w:t xml:space="preserve"> the EU sustainable finance framework in Poland and Spain – at least according to the information disclosed in the prospectuses. The 2023 issue from the Polish bank </w:t>
      </w:r>
      <w:proofErr w:type="spellStart"/>
      <w:r w:rsidRPr="00637861">
        <w:rPr>
          <w:rFonts w:ascii="Times New Roman" w:hAnsi="Times New Roman" w:cs="Times New Roman"/>
          <w:color w:val="000000" w:themeColor="text1"/>
        </w:rPr>
        <w:t>Pekao</w:t>
      </w:r>
      <w:proofErr w:type="spellEnd"/>
      <w:r w:rsidRPr="00637861">
        <w:rPr>
          <w:rFonts w:ascii="Times New Roman" w:hAnsi="Times New Roman" w:cs="Times New Roman"/>
          <w:color w:val="000000" w:themeColor="text1"/>
        </w:rPr>
        <w:t xml:space="preserve"> includes commitments to follow the Green Taxonomy classifications </w:t>
      </w:r>
      <w:r w:rsidR="001C17C4">
        <w:rPr>
          <w:rFonts w:ascii="Times New Roman" w:hAnsi="Times New Roman" w:cs="Times New Roman"/>
          <w:color w:val="000000" w:themeColor="text1"/>
        </w:rPr>
        <w:t>when</w:t>
      </w:r>
      <w:r w:rsidR="001C17C4"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selecting eligible projects to be financed, without qualification. The Spanish bank BBVA</w:t>
      </w:r>
      <w:r w:rsidR="00E62BEB">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meanwhile</w:t>
      </w:r>
      <w:r w:rsidR="00E62BEB">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refers to its internal efforts to follow that regulation.</w:t>
      </w:r>
      <w:r w:rsidRPr="00637861">
        <w:rPr>
          <w:rStyle w:val="Odwoanieprzypisudolnego"/>
          <w:rFonts w:ascii="Times New Roman" w:hAnsi="Times New Roman" w:cs="Times New Roman"/>
          <w:color w:val="000000" w:themeColor="text1"/>
        </w:rPr>
        <w:footnoteReference w:id="59"/>
      </w:r>
      <w:r w:rsidRPr="00637861">
        <w:rPr>
          <w:rFonts w:ascii="Times New Roman" w:hAnsi="Times New Roman" w:cs="Times New Roman"/>
          <w:color w:val="000000" w:themeColor="text1"/>
        </w:rPr>
        <w:t xml:space="preserve"> </w:t>
      </w:r>
    </w:p>
    <w:p w14:paraId="1814049E" w14:textId="3524DDB7" w:rsidR="008B50D1" w:rsidRPr="00637861" w:rsidRDefault="008B50D1" w:rsidP="00A05A67">
      <w:pPr>
        <w:spacing w:after="120" w:line="360" w:lineRule="auto"/>
        <w:jc w:val="both"/>
        <w:rPr>
          <w:rFonts w:ascii="Times New Roman" w:hAnsi="Times New Roman" w:cs="Times New Roman"/>
          <w:b/>
          <w:bCs/>
          <w:i/>
          <w:iCs/>
          <w:color w:val="000000" w:themeColor="text1"/>
        </w:rPr>
      </w:pPr>
      <w:r w:rsidRPr="00637861">
        <w:rPr>
          <w:rFonts w:ascii="Times New Roman" w:hAnsi="Times New Roman" w:cs="Times New Roman"/>
          <w:color w:val="000000" w:themeColor="text1"/>
        </w:rPr>
        <w:t xml:space="preserve">This tension regarding the foundational aspects of sustainable finance extends to how the green financing frameworks are (not) being incorporated into legally binding terms of the prospectus. As part of GBFs, </w:t>
      </w:r>
      <w:r w:rsidR="001C17C4">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borrower commits to specific governance procedures regarding the selection of projects (including cross-business line coordination) and their management (including tracking of the use of proceeds and audit</w:t>
      </w:r>
      <w:r w:rsidR="001C17C4">
        <w:rPr>
          <w:rFonts w:ascii="Times New Roman" w:hAnsi="Times New Roman" w:cs="Times New Roman"/>
          <w:color w:val="000000" w:themeColor="text1"/>
        </w:rPr>
        <w:t>s</w:t>
      </w:r>
      <w:r w:rsidRPr="00637861">
        <w:rPr>
          <w:rFonts w:ascii="Times New Roman" w:hAnsi="Times New Roman" w:cs="Times New Roman"/>
          <w:color w:val="000000" w:themeColor="text1"/>
        </w:rPr>
        <w:t xml:space="preserve"> thereof). For sustainability-linked debt, the documents disclose the relevant KPIs, such as greenhouse gas emission reductions in CO2e or energy efficiency savings in MWh</w:t>
      </w:r>
      <w:r w:rsidR="001C17C4">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as well as the calibration of SPTs</w:t>
      </w:r>
      <w:r w:rsidR="001C17C4">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which should correspond to a material improvement in performance along a predefined timeline. In addition, a key feature of the sustainability-linked products</w:t>
      </w:r>
      <w:r w:rsidR="008216FA">
        <w:rPr>
          <w:rFonts w:ascii="Times New Roman" w:hAnsi="Times New Roman" w:cs="Times New Roman"/>
          <w:color w:val="000000" w:themeColor="text1"/>
        </w:rPr>
        <w:t xml:space="preserve"> is that</w:t>
      </w:r>
      <w:r w:rsidR="008216FA"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borrowers disclose specific financial and structural characteristics</w:t>
      </w:r>
      <w:r w:rsidR="001C17C4">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including variation of the coupon linked to specific coupon events.</w:t>
      </w:r>
      <w:r w:rsidR="003F527E">
        <w:rPr>
          <w:rStyle w:val="Odwoanieprzypisudolnego"/>
          <w:rFonts w:ascii="Times New Roman" w:hAnsi="Times New Roman" w:cs="Times New Roman"/>
          <w:color w:val="000000" w:themeColor="text1"/>
        </w:rPr>
        <w:footnoteReference w:id="60"/>
      </w:r>
      <w:r w:rsidRPr="00637861">
        <w:rPr>
          <w:rFonts w:ascii="Times New Roman" w:hAnsi="Times New Roman" w:cs="Times New Roman"/>
          <w:color w:val="000000" w:themeColor="text1"/>
        </w:rPr>
        <w:t xml:space="preserve"> Both types of green financing frameworks include details on reporting (including </w:t>
      </w:r>
      <w:r w:rsidR="00E62BEB">
        <w:rPr>
          <w:rFonts w:ascii="Times New Roman" w:hAnsi="Times New Roman" w:cs="Times New Roman"/>
          <w:color w:val="000000" w:themeColor="text1"/>
        </w:rPr>
        <w:t xml:space="preserve">its </w:t>
      </w:r>
      <w:r w:rsidRPr="00637861">
        <w:rPr>
          <w:rFonts w:ascii="Times New Roman" w:hAnsi="Times New Roman" w:cs="Times New Roman"/>
          <w:color w:val="000000" w:themeColor="text1"/>
        </w:rPr>
        <w:t xml:space="preserve">frequency) and external verification </w:t>
      </w:r>
      <w:r w:rsidR="00E62BEB">
        <w:rPr>
          <w:rFonts w:ascii="Times New Roman" w:hAnsi="Times New Roman" w:cs="Times New Roman"/>
          <w:color w:val="000000" w:themeColor="text1"/>
        </w:rPr>
        <w:t>throughout</w:t>
      </w:r>
      <w:r w:rsidR="00E62BEB"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the lifecycle of the financing. Despite the prominence of the GBFs as a </w:t>
      </w:r>
      <w:r w:rsidRPr="00637861">
        <w:rPr>
          <w:rFonts w:ascii="Times New Roman" w:hAnsi="Times New Roman" w:cs="Times New Roman"/>
          <w:color w:val="000000" w:themeColor="text1"/>
        </w:rPr>
        <w:lastRenderedPageBreak/>
        <w:t xml:space="preserve">key feature of sustainable financing, their link to the </w:t>
      </w:r>
      <w:r w:rsidR="0007473B" w:rsidRPr="00637861">
        <w:rPr>
          <w:rFonts w:ascii="Times New Roman" w:hAnsi="Times New Roman" w:cs="Times New Roman"/>
          <w:color w:val="000000" w:themeColor="text1"/>
        </w:rPr>
        <w:t>legal</w:t>
      </w:r>
      <w:r w:rsidRPr="00637861">
        <w:rPr>
          <w:rFonts w:ascii="Times New Roman" w:hAnsi="Times New Roman" w:cs="Times New Roman"/>
          <w:color w:val="000000" w:themeColor="text1"/>
        </w:rPr>
        <w:t xml:space="preserve"> terms of financing differs across the bond prospectuses. EU issuers typically refer to the GBFs in the prospectuses, </w:t>
      </w:r>
      <w:r w:rsidR="00E62BEB">
        <w:rPr>
          <w:rFonts w:ascii="Times New Roman" w:hAnsi="Times New Roman" w:cs="Times New Roman"/>
          <w:color w:val="000000" w:themeColor="text1"/>
        </w:rPr>
        <w:t>despite ex</w:t>
      </w:r>
      <w:r w:rsidRPr="00637861">
        <w:rPr>
          <w:rFonts w:ascii="Times New Roman" w:hAnsi="Times New Roman" w:cs="Times New Roman"/>
          <w:color w:val="000000" w:themeColor="text1"/>
        </w:rPr>
        <w:t>cluding the</w:t>
      </w:r>
      <w:r w:rsidR="00E62BEB">
        <w:rPr>
          <w:rFonts w:ascii="Times New Roman" w:hAnsi="Times New Roman" w:cs="Times New Roman"/>
          <w:color w:val="000000" w:themeColor="text1"/>
        </w:rPr>
        <w:t>m</w:t>
      </w:r>
      <w:r w:rsidRPr="00637861">
        <w:rPr>
          <w:rFonts w:ascii="Times New Roman" w:hAnsi="Times New Roman" w:cs="Times New Roman"/>
          <w:color w:val="000000" w:themeColor="text1"/>
        </w:rPr>
        <w:t xml:space="preserve"> </w:t>
      </w:r>
      <w:r w:rsidR="00E62BEB">
        <w:rPr>
          <w:rFonts w:ascii="Times New Roman" w:hAnsi="Times New Roman" w:cs="Times New Roman"/>
          <w:color w:val="000000" w:themeColor="text1"/>
        </w:rPr>
        <w:t>from</w:t>
      </w:r>
      <w:r w:rsidR="00E62BEB"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the list of </w:t>
      </w:r>
      <w:r w:rsidR="00E62BEB">
        <w:rPr>
          <w:rFonts w:ascii="Times New Roman" w:hAnsi="Times New Roman" w:cs="Times New Roman"/>
          <w:color w:val="000000" w:themeColor="text1"/>
        </w:rPr>
        <w:t>documents</w:t>
      </w:r>
      <w:r w:rsidR="00E62BEB"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incorporated by reference (such as annual financial reports).</w:t>
      </w:r>
      <w:r w:rsidRPr="00637861">
        <w:rPr>
          <w:rStyle w:val="Odwoanieprzypisudolnego"/>
          <w:rFonts w:ascii="Times New Roman" w:hAnsi="Times New Roman" w:cs="Times New Roman"/>
          <w:color w:val="000000" w:themeColor="text1"/>
        </w:rPr>
        <w:footnoteReference w:id="61"/>
      </w:r>
      <w:r w:rsidRPr="00637861">
        <w:rPr>
          <w:rFonts w:ascii="Times New Roman" w:hAnsi="Times New Roman" w:cs="Times New Roman"/>
          <w:color w:val="000000" w:themeColor="text1"/>
        </w:rPr>
        <w:t xml:space="preserve"> Investors ‘should have regard’ for GBFs, </w:t>
      </w:r>
      <w:r w:rsidR="00E62BEB">
        <w:rPr>
          <w:rFonts w:ascii="Times New Roman" w:hAnsi="Times New Roman" w:cs="Times New Roman"/>
          <w:color w:val="000000" w:themeColor="text1"/>
        </w:rPr>
        <w:t>though</w:t>
      </w:r>
      <w:r w:rsidR="00E62BEB"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they create no legal obligations.</w:t>
      </w:r>
      <w:r w:rsidRPr="00637861">
        <w:rPr>
          <w:rStyle w:val="Odwoanieprzypisudolnego"/>
          <w:rFonts w:ascii="Times New Roman" w:hAnsi="Times New Roman" w:cs="Times New Roman"/>
          <w:color w:val="000000" w:themeColor="text1"/>
        </w:rPr>
        <w:footnoteReference w:id="62"/>
      </w:r>
      <w:r w:rsidRPr="00637861">
        <w:rPr>
          <w:rFonts w:ascii="Times New Roman" w:hAnsi="Times New Roman" w:cs="Times New Roman"/>
          <w:color w:val="000000" w:themeColor="text1"/>
        </w:rPr>
        <w:t xml:space="preserve"> The issuers also shield themselves from any deviation from the use of proceeds under GBFs</w:t>
      </w:r>
      <w:r w:rsidR="00E62BEB">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emphasising that such situations should not being treated as </w:t>
      </w:r>
      <w:r w:rsidR="00E62BEB">
        <w:rPr>
          <w:rFonts w:ascii="Times New Roman" w:hAnsi="Times New Roman" w:cs="Times New Roman"/>
          <w:color w:val="000000" w:themeColor="text1"/>
        </w:rPr>
        <w:t xml:space="preserve">an </w:t>
      </w:r>
      <w:r w:rsidRPr="00637861">
        <w:rPr>
          <w:rFonts w:ascii="Times New Roman" w:hAnsi="Times New Roman" w:cs="Times New Roman"/>
          <w:color w:val="000000" w:themeColor="text1"/>
        </w:rPr>
        <w:t>event of default.</w:t>
      </w:r>
      <w:r w:rsidRPr="00637861">
        <w:rPr>
          <w:rStyle w:val="Odwoanieprzypisudolnego"/>
          <w:rFonts w:ascii="Times New Roman" w:hAnsi="Times New Roman" w:cs="Times New Roman"/>
          <w:color w:val="000000" w:themeColor="text1"/>
        </w:rPr>
        <w:footnoteReference w:id="63"/>
      </w:r>
      <w:r w:rsidRPr="00637861">
        <w:rPr>
          <w:rFonts w:ascii="Times New Roman" w:hAnsi="Times New Roman" w:cs="Times New Roman"/>
          <w:color w:val="000000" w:themeColor="text1"/>
        </w:rPr>
        <w:t xml:space="preserve"> However, the more recent issuances</w:t>
      </w:r>
      <w:r w:rsidRPr="00637861">
        <w:rPr>
          <w:rStyle w:val="Odwoanieprzypisudolnego"/>
          <w:rFonts w:ascii="Times New Roman" w:hAnsi="Times New Roman" w:cs="Times New Roman"/>
          <w:color w:val="000000" w:themeColor="text1"/>
        </w:rPr>
        <w:footnoteReference w:id="64"/>
      </w:r>
      <w:r w:rsidR="00F820D2">
        <w:rPr>
          <w:rFonts w:ascii="Times New Roman" w:hAnsi="Times New Roman" w:cs="Times New Roman"/>
          <w:color w:val="000000" w:themeColor="text1"/>
        </w:rPr>
        <w:t xml:space="preserve"> across jurisdictions,</w:t>
      </w:r>
      <w:r w:rsidRPr="00637861">
        <w:rPr>
          <w:rFonts w:ascii="Times New Roman" w:hAnsi="Times New Roman" w:cs="Times New Roman"/>
          <w:color w:val="000000" w:themeColor="text1"/>
        </w:rPr>
        <w:t xml:space="preserve"> and, as mentioned above, those in Poland</w:t>
      </w:r>
      <w:r w:rsidR="00F820D2">
        <w:rPr>
          <w:rFonts w:ascii="Times New Roman" w:hAnsi="Times New Roman" w:cs="Times New Roman"/>
          <w:color w:val="000000" w:themeColor="text1"/>
        </w:rPr>
        <w:t>,</w:t>
      </w:r>
      <w:r w:rsidRPr="00637861">
        <w:rPr>
          <w:rStyle w:val="Odwoanieprzypisudolnego"/>
          <w:rFonts w:ascii="Times New Roman" w:hAnsi="Times New Roman" w:cs="Times New Roman"/>
          <w:color w:val="000000" w:themeColor="text1"/>
        </w:rPr>
        <w:footnoteReference w:id="65"/>
      </w:r>
      <w:r w:rsidRPr="00637861">
        <w:rPr>
          <w:rFonts w:ascii="Times New Roman" w:hAnsi="Times New Roman" w:cs="Times New Roman"/>
          <w:color w:val="000000" w:themeColor="text1"/>
        </w:rPr>
        <w:t xml:space="preserve"> show that </w:t>
      </w:r>
      <w:r w:rsidR="00E62BEB">
        <w:rPr>
          <w:rFonts w:ascii="Times New Roman" w:hAnsi="Times New Roman" w:cs="Times New Roman"/>
          <w:color w:val="000000" w:themeColor="text1"/>
        </w:rPr>
        <w:t>it is</w:t>
      </w:r>
      <w:r w:rsidR="00E62BEB" w:rsidRPr="00637861">
        <w:rPr>
          <w:rFonts w:ascii="Times New Roman" w:hAnsi="Times New Roman" w:cs="Times New Roman"/>
          <w:color w:val="000000" w:themeColor="text1"/>
        </w:rPr>
        <w:t xml:space="preserve"> possible </w:t>
      </w:r>
      <w:r w:rsidR="00E62BEB">
        <w:rPr>
          <w:rFonts w:ascii="Times New Roman" w:hAnsi="Times New Roman" w:cs="Times New Roman"/>
          <w:color w:val="000000" w:themeColor="text1"/>
        </w:rPr>
        <w:t xml:space="preserve">to more </w:t>
      </w:r>
      <w:r w:rsidR="00F820D2">
        <w:rPr>
          <w:rFonts w:ascii="Times New Roman" w:hAnsi="Times New Roman" w:cs="Times New Roman"/>
          <w:color w:val="000000" w:themeColor="text1"/>
        </w:rPr>
        <w:t>directly</w:t>
      </w:r>
      <w:r w:rsidR="00E62BEB" w:rsidRPr="00637861">
        <w:rPr>
          <w:rFonts w:ascii="Times New Roman" w:hAnsi="Times New Roman" w:cs="Times New Roman"/>
          <w:color w:val="000000" w:themeColor="text1"/>
        </w:rPr>
        <w:t xml:space="preserve"> </w:t>
      </w:r>
      <w:r w:rsidR="00F820D2">
        <w:rPr>
          <w:rFonts w:ascii="Times New Roman" w:hAnsi="Times New Roman" w:cs="Times New Roman"/>
          <w:color w:val="000000" w:themeColor="text1"/>
        </w:rPr>
        <w:t>integrate</w:t>
      </w:r>
      <w:r w:rsidR="00E62BEB">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the documents outlining the commitments and the terms of issue.</w:t>
      </w:r>
      <w:r w:rsidRPr="00637861">
        <w:rPr>
          <w:rStyle w:val="Odwoanieprzypisudolnego"/>
          <w:rFonts w:ascii="Times New Roman" w:hAnsi="Times New Roman" w:cs="Times New Roman"/>
          <w:color w:val="000000" w:themeColor="text1"/>
        </w:rPr>
        <w:footnoteReference w:id="66"/>
      </w:r>
    </w:p>
    <w:p w14:paraId="1C710F98" w14:textId="6B99AE00"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Despite the above-mentioned limitations, several types of contractual innovations with regard to sustainability-themed financing differentiate </w:t>
      </w:r>
      <w:r w:rsidR="00E62BEB">
        <w:rPr>
          <w:rFonts w:ascii="Times New Roman" w:hAnsi="Times New Roman" w:cs="Times New Roman"/>
          <w:color w:val="000000" w:themeColor="text1"/>
        </w:rPr>
        <w:t>it</w:t>
      </w:r>
      <w:r w:rsidRPr="00637861">
        <w:rPr>
          <w:rFonts w:ascii="Times New Roman" w:hAnsi="Times New Roman" w:cs="Times New Roman"/>
          <w:color w:val="000000" w:themeColor="text1"/>
        </w:rPr>
        <w:t xml:space="preserve"> from traditional form</w:t>
      </w:r>
      <w:r w:rsidR="00E62BEB">
        <w:rPr>
          <w:rFonts w:ascii="Times New Roman" w:hAnsi="Times New Roman" w:cs="Times New Roman"/>
          <w:color w:val="000000" w:themeColor="text1"/>
        </w:rPr>
        <w:t>s</w:t>
      </w:r>
      <w:r w:rsidRPr="00637861">
        <w:rPr>
          <w:rFonts w:ascii="Times New Roman" w:hAnsi="Times New Roman" w:cs="Times New Roman"/>
          <w:color w:val="000000" w:themeColor="text1"/>
        </w:rPr>
        <w:t xml:space="preserve"> of financing. First</w:t>
      </w:r>
      <w:r w:rsidR="00E62BEB">
        <w:rPr>
          <w:rFonts w:ascii="Times New Roman" w:hAnsi="Times New Roman" w:cs="Times New Roman"/>
          <w:color w:val="000000" w:themeColor="text1"/>
        </w:rPr>
        <w:t>ly</w:t>
      </w:r>
      <w:r w:rsidRPr="00637861">
        <w:rPr>
          <w:rFonts w:ascii="Times New Roman" w:hAnsi="Times New Roman" w:cs="Times New Roman"/>
          <w:color w:val="000000" w:themeColor="text1"/>
        </w:rPr>
        <w:t xml:space="preserve">, notwithstanding the </w:t>
      </w:r>
      <w:r w:rsidR="00FA5CBF">
        <w:rPr>
          <w:rFonts w:ascii="Times New Roman" w:hAnsi="Times New Roman" w:cs="Times New Roman"/>
          <w:color w:val="000000" w:themeColor="text1"/>
        </w:rPr>
        <w:t>limitations</w:t>
      </w:r>
      <w:r w:rsidRPr="00637861">
        <w:rPr>
          <w:rFonts w:ascii="Times New Roman" w:hAnsi="Times New Roman" w:cs="Times New Roman"/>
          <w:color w:val="000000" w:themeColor="text1"/>
        </w:rPr>
        <w:t xml:space="preserve"> described above, bond issuers do include information related to their green and sustainability performance in their prospectus</w:t>
      </w:r>
      <w:r w:rsidR="00E62BEB">
        <w:rPr>
          <w:rFonts w:ascii="Times New Roman" w:hAnsi="Times New Roman" w:cs="Times New Roman"/>
          <w:color w:val="000000" w:themeColor="text1"/>
        </w:rPr>
        <w:t>es</w:t>
      </w:r>
      <w:r w:rsidRPr="00637861">
        <w:rPr>
          <w:rFonts w:ascii="Times New Roman" w:hAnsi="Times New Roman" w:cs="Times New Roman"/>
          <w:color w:val="000000" w:themeColor="text1"/>
        </w:rPr>
        <w:t xml:space="preserve">. This may be either a reference to the GBF or other information related to decarbonisation pathways. Even where the prospectuses explicitly deny incorporation of these documents, they evidently create expectations </w:t>
      </w:r>
      <w:r w:rsidR="009C0695">
        <w:rPr>
          <w:rFonts w:ascii="Times New Roman" w:hAnsi="Times New Roman" w:cs="Times New Roman"/>
          <w:color w:val="000000" w:themeColor="text1"/>
        </w:rPr>
        <w:t>in</w:t>
      </w:r>
      <w:r w:rsidR="009C0695"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the investors. In the case of sustainability-linked bonds, </w:t>
      </w:r>
      <w:r w:rsidR="009C0695">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issuer’s term</w:t>
      </w:r>
      <w:r w:rsidR="00A1269D" w:rsidRPr="00637861">
        <w:rPr>
          <w:rFonts w:ascii="Times New Roman" w:hAnsi="Times New Roman" w:cs="Times New Roman"/>
          <w:color w:val="000000" w:themeColor="text1"/>
        </w:rPr>
        <w:t>s</w:t>
      </w:r>
      <w:r w:rsidRPr="00637861">
        <w:rPr>
          <w:rFonts w:ascii="Times New Roman" w:hAnsi="Times New Roman" w:cs="Times New Roman"/>
          <w:color w:val="000000" w:themeColor="text1"/>
        </w:rPr>
        <w:t xml:space="preserve"> of issue include step-up or step-down provisions.</w:t>
      </w:r>
      <w:r w:rsidRPr="00637861">
        <w:rPr>
          <w:rStyle w:val="Odwoanieprzypisudolnego"/>
          <w:rFonts w:ascii="Times New Roman" w:hAnsi="Times New Roman" w:cs="Times New Roman"/>
          <w:color w:val="000000" w:themeColor="text1"/>
        </w:rPr>
        <w:footnoteReference w:id="67"/>
      </w:r>
      <w:r w:rsidRPr="00637861">
        <w:rPr>
          <w:rFonts w:ascii="Times New Roman" w:hAnsi="Times New Roman" w:cs="Times New Roman"/>
          <w:color w:val="000000" w:themeColor="text1"/>
        </w:rPr>
        <w:t xml:space="preserve"> This information is </w:t>
      </w:r>
      <w:r w:rsidR="009C0695" w:rsidRPr="00637861">
        <w:rPr>
          <w:rFonts w:ascii="Times New Roman" w:hAnsi="Times New Roman" w:cs="Times New Roman"/>
          <w:color w:val="000000" w:themeColor="text1"/>
        </w:rPr>
        <w:t xml:space="preserve">subsequently </w:t>
      </w:r>
      <w:r w:rsidRPr="00637861">
        <w:rPr>
          <w:rFonts w:ascii="Times New Roman" w:hAnsi="Times New Roman" w:cs="Times New Roman"/>
          <w:color w:val="000000" w:themeColor="text1"/>
        </w:rPr>
        <w:t>integrated in</w:t>
      </w:r>
      <w:r w:rsidR="009C0695">
        <w:rPr>
          <w:rFonts w:ascii="Times New Roman" w:hAnsi="Times New Roman" w:cs="Times New Roman"/>
          <w:color w:val="000000" w:themeColor="text1"/>
        </w:rPr>
        <w:t>to</w:t>
      </w:r>
      <w:r w:rsidRPr="00637861">
        <w:rPr>
          <w:rFonts w:ascii="Times New Roman" w:hAnsi="Times New Roman" w:cs="Times New Roman"/>
          <w:color w:val="000000" w:themeColor="text1"/>
        </w:rPr>
        <w:t xml:space="preserve"> the marketing of the instrument on secondary markets. Second</w:t>
      </w:r>
      <w:r w:rsidR="009C0695">
        <w:rPr>
          <w:rFonts w:ascii="Times New Roman" w:hAnsi="Times New Roman" w:cs="Times New Roman"/>
          <w:color w:val="000000" w:themeColor="text1"/>
        </w:rPr>
        <w:t>ly</w:t>
      </w:r>
      <w:r w:rsidRPr="00637861">
        <w:rPr>
          <w:rFonts w:ascii="Times New Roman" w:hAnsi="Times New Roman" w:cs="Times New Roman"/>
          <w:color w:val="000000" w:themeColor="text1"/>
        </w:rPr>
        <w:t xml:space="preserve">, there </w:t>
      </w:r>
      <w:r w:rsidR="009C0695">
        <w:rPr>
          <w:rFonts w:ascii="Times New Roman" w:hAnsi="Times New Roman" w:cs="Times New Roman"/>
          <w:color w:val="000000" w:themeColor="text1"/>
        </w:rPr>
        <w:t>we</w:t>
      </w:r>
      <w:r w:rsidR="009C0695" w:rsidRPr="00637861">
        <w:rPr>
          <w:rFonts w:ascii="Times New Roman" w:hAnsi="Times New Roman" w:cs="Times New Roman"/>
          <w:color w:val="000000" w:themeColor="text1"/>
        </w:rPr>
        <w:t xml:space="preserve">re </w:t>
      </w:r>
      <w:r w:rsidRPr="00637861">
        <w:rPr>
          <w:rFonts w:ascii="Times New Roman" w:hAnsi="Times New Roman" w:cs="Times New Roman"/>
          <w:color w:val="000000" w:themeColor="text1"/>
        </w:rPr>
        <w:t xml:space="preserve">a few examples of contractual sanctions </w:t>
      </w:r>
      <w:r w:rsidR="00605C43">
        <w:rPr>
          <w:rFonts w:ascii="Times New Roman" w:hAnsi="Times New Roman" w:cs="Times New Roman"/>
          <w:color w:val="000000" w:themeColor="text1"/>
        </w:rPr>
        <w:t>in</w:t>
      </w:r>
      <w:r w:rsidR="009C0695">
        <w:rPr>
          <w:rFonts w:ascii="Times New Roman" w:hAnsi="Times New Roman" w:cs="Times New Roman"/>
          <w:color w:val="000000" w:themeColor="text1"/>
        </w:rPr>
        <w:t xml:space="preserve"> the terms </w:t>
      </w:r>
      <w:r w:rsidRPr="00637861">
        <w:rPr>
          <w:rFonts w:ascii="Times New Roman" w:hAnsi="Times New Roman" w:cs="Times New Roman"/>
          <w:color w:val="000000" w:themeColor="text1"/>
        </w:rPr>
        <w:t>in the prospectus. Several Polish prospectuses</w:t>
      </w:r>
      <w:r w:rsidR="00605C43">
        <w:rPr>
          <w:rFonts w:ascii="Times New Roman" w:hAnsi="Times New Roman" w:cs="Times New Roman"/>
          <w:color w:val="000000" w:themeColor="text1"/>
        </w:rPr>
        <w:t xml:space="preserve"> explicitly</w:t>
      </w:r>
      <w:r w:rsidRPr="00637861">
        <w:rPr>
          <w:rFonts w:ascii="Times New Roman" w:hAnsi="Times New Roman" w:cs="Times New Roman"/>
          <w:color w:val="000000" w:themeColor="text1"/>
        </w:rPr>
        <w:t xml:space="preserve"> provide for early redemption of bonds if the issuer does not use the proceeds </w:t>
      </w:r>
      <w:r w:rsidR="00A1269D" w:rsidRPr="00637861">
        <w:rPr>
          <w:rFonts w:ascii="Times New Roman" w:hAnsi="Times New Roman" w:cs="Times New Roman"/>
          <w:color w:val="000000" w:themeColor="text1"/>
        </w:rPr>
        <w:t xml:space="preserve">in accordance </w:t>
      </w:r>
      <w:r w:rsidRPr="00637861">
        <w:rPr>
          <w:rFonts w:ascii="Times New Roman" w:hAnsi="Times New Roman" w:cs="Times New Roman"/>
          <w:color w:val="000000" w:themeColor="text1"/>
        </w:rPr>
        <w:t>with the green purpose.</w:t>
      </w:r>
      <w:r w:rsidRPr="00637861">
        <w:rPr>
          <w:rStyle w:val="Odwoanieprzypisudolnego"/>
          <w:rFonts w:ascii="Times New Roman" w:hAnsi="Times New Roman" w:cs="Times New Roman"/>
          <w:color w:val="000000" w:themeColor="text1"/>
        </w:rPr>
        <w:footnoteReference w:id="68"/>
      </w:r>
      <w:r w:rsidRPr="00637861">
        <w:rPr>
          <w:rFonts w:ascii="Times New Roman" w:hAnsi="Times New Roman" w:cs="Times New Roman"/>
          <w:color w:val="000000" w:themeColor="text1"/>
        </w:rPr>
        <w:t xml:space="preserve"> </w:t>
      </w:r>
    </w:p>
    <w:p w14:paraId="5DCA381A" w14:textId="3B768355"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As far as the legal encasing of sustainable</w:t>
      </w:r>
      <w:r w:rsidR="0098368F">
        <w:rPr>
          <w:rFonts w:ascii="Times New Roman" w:hAnsi="Times New Roman" w:cs="Times New Roman"/>
          <w:color w:val="000000" w:themeColor="text1"/>
        </w:rPr>
        <w:t xml:space="preserve"> corporate</w:t>
      </w:r>
      <w:r w:rsidRPr="00637861">
        <w:rPr>
          <w:rFonts w:ascii="Times New Roman" w:hAnsi="Times New Roman" w:cs="Times New Roman"/>
          <w:color w:val="000000" w:themeColor="text1"/>
        </w:rPr>
        <w:t xml:space="preserve"> debt is concerned, there is </w:t>
      </w:r>
      <w:r w:rsidRPr="009C0695">
        <w:rPr>
          <w:rFonts w:ascii="Times New Roman" w:hAnsi="Times New Roman" w:cs="Times New Roman"/>
          <w:color w:val="000000" w:themeColor="text1"/>
        </w:rPr>
        <w:t xml:space="preserve">evident tension </w:t>
      </w:r>
      <w:r w:rsidR="009C0695">
        <w:rPr>
          <w:rFonts w:ascii="Times New Roman" w:hAnsi="Times New Roman" w:cs="Times New Roman"/>
          <w:color w:val="000000" w:themeColor="text1"/>
        </w:rPr>
        <w:t>in</w:t>
      </w:r>
      <w:r w:rsidRPr="009C0695">
        <w:rPr>
          <w:rFonts w:ascii="Times New Roman" w:hAnsi="Times New Roman" w:cs="Times New Roman"/>
          <w:color w:val="000000" w:themeColor="text1"/>
        </w:rPr>
        <w:t xml:space="preserve"> the regulatory legal environment incorporating sustainability</w:t>
      </w:r>
      <w:r w:rsidRPr="00637861">
        <w:rPr>
          <w:rFonts w:ascii="Times New Roman" w:hAnsi="Times New Roman" w:cs="Times New Roman"/>
          <w:color w:val="000000" w:themeColor="text1"/>
        </w:rPr>
        <w:t xml:space="preserve">. On the one hand, GBFs and references to </w:t>
      </w:r>
      <w:r w:rsidR="009C0695" w:rsidRPr="00637861">
        <w:rPr>
          <w:rFonts w:ascii="Times New Roman" w:hAnsi="Times New Roman" w:cs="Times New Roman"/>
          <w:color w:val="000000" w:themeColor="text1"/>
        </w:rPr>
        <w:t>the</w:t>
      </w:r>
      <w:r w:rsidR="009C0695">
        <w:rPr>
          <w:rFonts w:ascii="Times New Roman" w:hAnsi="Times New Roman" w:cs="Times New Roman"/>
          <w:color w:val="000000" w:themeColor="text1"/>
        </w:rPr>
        <w:t>m</w:t>
      </w:r>
      <w:r w:rsidR="009C0695"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in the</w:t>
      </w:r>
      <w:r w:rsidR="00AD6270">
        <w:rPr>
          <w:rFonts w:ascii="Times New Roman" w:hAnsi="Times New Roman" w:cs="Times New Roman"/>
          <w:color w:val="000000" w:themeColor="text1"/>
        </w:rPr>
        <w:t xml:space="preserve"> prospectuses’</w:t>
      </w:r>
      <w:r w:rsidRPr="00637861">
        <w:rPr>
          <w:rFonts w:ascii="Times New Roman" w:hAnsi="Times New Roman" w:cs="Times New Roman"/>
          <w:color w:val="000000" w:themeColor="text1"/>
        </w:rPr>
        <w:t xml:space="preserve"> terms of issue clarify </w:t>
      </w:r>
      <w:r w:rsidRPr="00637861">
        <w:rPr>
          <w:rFonts w:ascii="Times New Roman" w:hAnsi="Times New Roman" w:cs="Times New Roman"/>
          <w:color w:val="000000" w:themeColor="text1"/>
        </w:rPr>
        <w:lastRenderedPageBreak/>
        <w:t>the link between the financing and environmental or social impacts of firms’ activity in a quasi-regulatory way.</w:t>
      </w:r>
      <w:r w:rsidRPr="00637861">
        <w:rPr>
          <w:rStyle w:val="Odwoanieprzypisudolnego"/>
          <w:rFonts w:ascii="Times New Roman" w:hAnsi="Times New Roman" w:cs="Times New Roman"/>
          <w:color w:val="000000" w:themeColor="text1"/>
        </w:rPr>
        <w:footnoteReference w:id="69"/>
      </w:r>
      <w:r w:rsidRPr="00637861">
        <w:rPr>
          <w:rFonts w:ascii="Times New Roman" w:hAnsi="Times New Roman" w:cs="Times New Roman"/>
          <w:color w:val="000000" w:themeColor="text1"/>
        </w:rPr>
        <w:t xml:space="preserve"> In some jurisdictions mandatory provisions related </w:t>
      </w:r>
      <w:r w:rsidR="009C0695">
        <w:rPr>
          <w:rFonts w:ascii="Times New Roman" w:hAnsi="Times New Roman" w:cs="Times New Roman"/>
          <w:color w:val="000000" w:themeColor="text1"/>
        </w:rPr>
        <w:t xml:space="preserve">to </w:t>
      </w:r>
      <w:r w:rsidRPr="00637861">
        <w:rPr>
          <w:rFonts w:ascii="Times New Roman" w:hAnsi="Times New Roman" w:cs="Times New Roman"/>
          <w:color w:val="000000" w:themeColor="text1"/>
        </w:rPr>
        <w:t xml:space="preserve">the terms of green debt </w:t>
      </w:r>
      <w:r w:rsidR="009C0695">
        <w:rPr>
          <w:rFonts w:ascii="Times New Roman" w:hAnsi="Times New Roman" w:cs="Times New Roman"/>
          <w:color w:val="000000" w:themeColor="text1"/>
        </w:rPr>
        <w:t>have been</w:t>
      </w:r>
      <w:r w:rsidR="009C0695"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introduced. On the other</w:t>
      </w:r>
      <w:r w:rsidR="009C0695">
        <w:rPr>
          <w:rFonts w:ascii="Times New Roman" w:hAnsi="Times New Roman" w:cs="Times New Roman"/>
          <w:color w:val="000000" w:themeColor="text1"/>
        </w:rPr>
        <w:t xml:space="preserve"> hand</w:t>
      </w:r>
      <w:r w:rsidRPr="00637861">
        <w:rPr>
          <w:rFonts w:ascii="Times New Roman" w:hAnsi="Times New Roman" w:cs="Times New Roman"/>
          <w:color w:val="000000" w:themeColor="text1"/>
        </w:rPr>
        <w:t xml:space="preserve">, the legal incorporation of </w:t>
      </w:r>
      <w:r w:rsidR="009C0695">
        <w:rPr>
          <w:rFonts w:ascii="Times New Roman" w:hAnsi="Times New Roman" w:cs="Times New Roman"/>
          <w:color w:val="000000" w:themeColor="text1"/>
        </w:rPr>
        <w:t xml:space="preserve">a </w:t>
      </w:r>
      <w:r w:rsidRPr="00637861">
        <w:rPr>
          <w:rFonts w:ascii="Times New Roman" w:hAnsi="Times New Roman" w:cs="Times New Roman"/>
          <w:color w:val="000000" w:themeColor="text1"/>
        </w:rPr>
        <w:t>GBF into the prospectus is often denied, with waivers and disclaimers explicitly limiting the liability of the borrower for achiev</w:t>
      </w:r>
      <w:r w:rsidR="009C0695">
        <w:rPr>
          <w:rFonts w:ascii="Times New Roman" w:hAnsi="Times New Roman" w:cs="Times New Roman"/>
          <w:color w:val="000000" w:themeColor="text1"/>
        </w:rPr>
        <w:t>ing</w:t>
      </w:r>
      <w:r w:rsidRPr="00637861">
        <w:rPr>
          <w:rFonts w:ascii="Times New Roman" w:hAnsi="Times New Roman" w:cs="Times New Roman"/>
          <w:color w:val="000000" w:themeColor="text1"/>
        </w:rPr>
        <w:t xml:space="preserve"> the outlined goals. This suggests that </w:t>
      </w:r>
      <w:r w:rsidR="009C0695">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law</w:t>
      </w:r>
      <w:r w:rsidR="009C0695">
        <w:rPr>
          <w:rFonts w:ascii="Times New Roman" w:hAnsi="Times New Roman" w:cs="Times New Roman"/>
          <w:color w:val="000000" w:themeColor="text1"/>
        </w:rPr>
        <w:t>’s</w:t>
      </w:r>
      <w:r w:rsidRPr="00637861">
        <w:rPr>
          <w:rFonts w:ascii="Times New Roman" w:hAnsi="Times New Roman" w:cs="Times New Roman"/>
          <w:color w:val="000000" w:themeColor="text1"/>
        </w:rPr>
        <w:t xml:space="preserve"> co-constitutive role entails fragmenting the understanding of sustainability and shielding </w:t>
      </w:r>
      <w:r w:rsidR="009C0695">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actors involved</w:t>
      </w:r>
      <w:r w:rsidR="009C0695" w:rsidRPr="009C0695">
        <w:rPr>
          <w:rFonts w:ascii="Times New Roman" w:hAnsi="Times New Roman" w:cs="Times New Roman"/>
          <w:color w:val="000000" w:themeColor="text1"/>
        </w:rPr>
        <w:t xml:space="preserve"> </w:t>
      </w:r>
      <w:r w:rsidR="009C0695" w:rsidRPr="00637861">
        <w:rPr>
          <w:rFonts w:ascii="Times New Roman" w:hAnsi="Times New Roman" w:cs="Times New Roman"/>
          <w:color w:val="000000" w:themeColor="text1"/>
        </w:rPr>
        <w:t>from performance</w:t>
      </w:r>
      <w:r w:rsidR="009C0695">
        <w:rPr>
          <w:rFonts w:ascii="Times New Roman" w:hAnsi="Times New Roman" w:cs="Times New Roman"/>
          <w:color w:val="000000" w:themeColor="text1"/>
        </w:rPr>
        <w:t>-related</w:t>
      </w:r>
      <w:r w:rsidR="009C0695" w:rsidRPr="00637861">
        <w:rPr>
          <w:rFonts w:ascii="Times New Roman" w:hAnsi="Times New Roman" w:cs="Times New Roman"/>
          <w:color w:val="000000" w:themeColor="text1"/>
        </w:rPr>
        <w:t xml:space="preserve"> obligations</w:t>
      </w:r>
      <w:r w:rsidRPr="00637861">
        <w:rPr>
          <w:rFonts w:ascii="Times New Roman" w:hAnsi="Times New Roman" w:cs="Times New Roman"/>
          <w:color w:val="000000" w:themeColor="text1"/>
        </w:rPr>
        <w:t xml:space="preserve">. </w:t>
      </w:r>
      <w:r w:rsidR="009A3C66">
        <w:rPr>
          <w:rFonts w:ascii="Times New Roman" w:hAnsi="Times New Roman" w:cs="Times New Roman"/>
          <w:color w:val="000000" w:themeColor="text1"/>
        </w:rPr>
        <w:t>At the same time, even w</w:t>
      </w:r>
      <w:r w:rsidRPr="00637861">
        <w:rPr>
          <w:rFonts w:ascii="Times New Roman" w:hAnsi="Times New Roman" w:cs="Times New Roman"/>
          <w:color w:val="000000" w:themeColor="text1"/>
        </w:rPr>
        <w:t>here the pre-existing regulatory environment struggles to grapple with the new types of obligations (and time horizons) of mutual commitments between the lender/investor and the borrower, the emerging regulatory standards result in (often disclosed) documentation that effectively becomes an integral part of mutual expectations. This begs the question</w:t>
      </w:r>
      <w:r w:rsidR="009C0695">
        <w:rPr>
          <w:rFonts w:ascii="Times New Roman" w:hAnsi="Times New Roman" w:cs="Times New Roman"/>
          <w:color w:val="000000" w:themeColor="text1"/>
        </w:rPr>
        <w:t xml:space="preserve"> of</w:t>
      </w:r>
      <w:r w:rsidR="009C0695"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how tenable </w:t>
      </w:r>
      <w:r w:rsidR="001E2405">
        <w:rPr>
          <w:rFonts w:ascii="Times New Roman" w:hAnsi="Times New Roman" w:cs="Times New Roman"/>
          <w:color w:val="000000" w:themeColor="text1"/>
        </w:rPr>
        <w:t>should be considered</w:t>
      </w:r>
      <w:r w:rsidR="001E2405"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the waivers and disclaimers in formal documentation</w:t>
      </w:r>
      <w:r w:rsidR="009C0695">
        <w:rPr>
          <w:rFonts w:ascii="Times New Roman" w:hAnsi="Times New Roman" w:cs="Times New Roman"/>
          <w:color w:val="000000" w:themeColor="text1"/>
        </w:rPr>
        <w:t>.</w:t>
      </w:r>
      <w:r w:rsidR="009C0695" w:rsidRPr="00637861">
        <w:rPr>
          <w:rFonts w:ascii="Times New Roman" w:hAnsi="Times New Roman" w:cs="Times New Roman"/>
          <w:color w:val="000000" w:themeColor="text1"/>
        </w:rPr>
        <w:t xml:space="preserve"> </w:t>
      </w:r>
      <w:r w:rsidR="009C0695">
        <w:rPr>
          <w:rFonts w:ascii="Times New Roman" w:hAnsi="Times New Roman" w:cs="Times New Roman"/>
          <w:color w:val="000000" w:themeColor="text1"/>
        </w:rPr>
        <w:t>Taking into account</w:t>
      </w:r>
      <w:r w:rsidR="009C0695"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the negotiation and preparatory stage of sustainable finance</w:t>
      </w:r>
      <w:r w:rsidR="009C0695">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as well as the subsequent monitoring and marketing</w:t>
      </w:r>
      <w:r w:rsidR="009C0695">
        <w:rPr>
          <w:rFonts w:ascii="Times New Roman" w:hAnsi="Times New Roman" w:cs="Times New Roman"/>
          <w:color w:val="000000" w:themeColor="text1"/>
        </w:rPr>
        <w:t>,</w:t>
      </w:r>
      <w:r w:rsidR="00A1269D" w:rsidRPr="00637861">
        <w:rPr>
          <w:rFonts w:ascii="Times New Roman" w:hAnsi="Times New Roman" w:cs="Times New Roman"/>
          <w:color w:val="000000" w:themeColor="text1"/>
        </w:rPr>
        <w:t xml:space="preserve"> </w:t>
      </w:r>
      <w:r w:rsidR="009C0695">
        <w:rPr>
          <w:rFonts w:ascii="Times New Roman" w:hAnsi="Times New Roman" w:cs="Times New Roman"/>
          <w:color w:val="000000" w:themeColor="text1"/>
        </w:rPr>
        <w:t xml:space="preserve">can </w:t>
      </w:r>
      <w:r w:rsidRPr="00637861">
        <w:rPr>
          <w:rFonts w:ascii="Times New Roman" w:hAnsi="Times New Roman" w:cs="Times New Roman"/>
          <w:color w:val="000000" w:themeColor="text1"/>
        </w:rPr>
        <w:t xml:space="preserve">shed light on potential </w:t>
      </w:r>
      <w:r w:rsidR="00A1269D" w:rsidRPr="00637861">
        <w:rPr>
          <w:rFonts w:ascii="Times New Roman" w:hAnsi="Times New Roman" w:cs="Times New Roman"/>
          <w:color w:val="000000" w:themeColor="text1"/>
        </w:rPr>
        <w:t>sites</w:t>
      </w:r>
      <w:r w:rsidRPr="00637861">
        <w:rPr>
          <w:rFonts w:ascii="Times New Roman" w:hAnsi="Times New Roman" w:cs="Times New Roman"/>
          <w:color w:val="000000" w:themeColor="text1"/>
        </w:rPr>
        <w:t xml:space="preserve"> of legal environment transformation.</w:t>
      </w:r>
    </w:p>
    <w:p w14:paraId="7794211C" w14:textId="77777777" w:rsidR="008B50D1" w:rsidRPr="00637861" w:rsidRDefault="008B50D1" w:rsidP="00A05A67">
      <w:pPr>
        <w:spacing w:after="120" w:line="360" w:lineRule="auto"/>
        <w:jc w:val="both"/>
        <w:rPr>
          <w:rFonts w:ascii="Times New Roman" w:hAnsi="Times New Roman" w:cs="Times New Roman"/>
          <w:b/>
          <w:bCs/>
          <w:color w:val="000000" w:themeColor="text1"/>
        </w:rPr>
      </w:pPr>
    </w:p>
    <w:p w14:paraId="4F260970" w14:textId="1995531B" w:rsidR="008B50D1" w:rsidRPr="00637861" w:rsidRDefault="008B50D1" w:rsidP="00A05A67">
      <w:pPr>
        <w:pStyle w:val="Nagwek2"/>
        <w:spacing w:before="0" w:after="120" w:line="360" w:lineRule="auto"/>
        <w:rPr>
          <w:rFonts w:ascii="Times New Roman" w:hAnsi="Times New Roman" w:cs="Times New Roman"/>
          <w:b/>
          <w:bCs/>
          <w:color w:val="000000" w:themeColor="text1"/>
          <w:sz w:val="24"/>
          <w:szCs w:val="24"/>
        </w:rPr>
      </w:pPr>
      <w:r w:rsidRPr="00637861">
        <w:rPr>
          <w:rFonts w:ascii="Times New Roman" w:hAnsi="Times New Roman" w:cs="Times New Roman"/>
          <w:b/>
          <w:bCs/>
          <w:color w:val="000000" w:themeColor="text1"/>
          <w:sz w:val="24"/>
          <w:szCs w:val="24"/>
        </w:rPr>
        <w:t xml:space="preserve">B. Negotiating green bonds: </w:t>
      </w:r>
      <w:r w:rsidR="009C0695">
        <w:rPr>
          <w:rFonts w:ascii="Times New Roman" w:hAnsi="Times New Roman" w:cs="Times New Roman"/>
          <w:b/>
          <w:bCs/>
          <w:color w:val="000000" w:themeColor="text1"/>
          <w:sz w:val="24"/>
          <w:szCs w:val="24"/>
        </w:rPr>
        <w:t>N</w:t>
      </w:r>
      <w:r w:rsidR="009C0695" w:rsidRPr="00637861">
        <w:rPr>
          <w:rFonts w:ascii="Times New Roman" w:hAnsi="Times New Roman" w:cs="Times New Roman"/>
          <w:b/>
          <w:bCs/>
          <w:color w:val="000000" w:themeColor="text1"/>
          <w:sz w:val="24"/>
          <w:szCs w:val="24"/>
        </w:rPr>
        <w:t xml:space="preserve">ew </w:t>
      </w:r>
      <w:r w:rsidRPr="00637861">
        <w:rPr>
          <w:rFonts w:ascii="Times New Roman" w:hAnsi="Times New Roman" w:cs="Times New Roman"/>
          <w:b/>
          <w:bCs/>
          <w:color w:val="000000" w:themeColor="text1"/>
          <w:sz w:val="24"/>
          <w:szCs w:val="24"/>
        </w:rPr>
        <w:t>voices in the room</w:t>
      </w:r>
    </w:p>
    <w:p w14:paraId="3DA4A025" w14:textId="3D4BC0C7"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Given the relative freedom involved in determining the terms of debt financing, the negotiation stage is broadly recognised as important and contingent on specific features of the borrower and the financing in general.</w:t>
      </w:r>
      <w:r w:rsidRPr="00637861">
        <w:rPr>
          <w:rStyle w:val="Odwoanieprzypisudolnego"/>
          <w:rFonts w:ascii="Times New Roman" w:hAnsi="Times New Roman" w:cs="Times New Roman"/>
          <w:color w:val="000000" w:themeColor="text1"/>
        </w:rPr>
        <w:footnoteReference w:id="70"/>
      </w:r>
      <w:r w:rsidRPr="00637861">
        <w:rPr>
          <w:rFonts w:ascii="Times New Roman" w:hAnsi="Times New Roman" w:cs="Times New Roman"/>
          <w:color w:val="000000" w:themeColor="text1"/>
        </w:rPr>
        <w:t xml:space="preserve"> </w:t>
      </w:r>
      <w:r w:rsidR="009C0695">
        <w:rPr>
          <w:rFonts w:ascii="Times New Roman" w:hAnsi="Times New Roman" w:cs="Times New Roman"/>
          <w:color w:val="000000" w:themeColor="text1"/>
        </w:rPr>
        <w:t>An u</w:t>
      </w:r>
      <w:r w:rsidR="009C0695" w:rsidRPr="00637861">
        <w:rPr>
          <w:rFonts w:ascii="Times New Roman" w:hAnsi="Times New Roman" w:cs="Times New Roman"/>
          <w:color w:val="000000" w:themeColor="text1"/>
        </w:rPr>
        <w:t xml:space="preserve">nderstanding </w:t>
      </w:r>
      <w:r w:rsidR="009C0695">
        <w:rPr>
          <w:rFonts w:ascii="Times New Roman" w:hAnsi="Times New Roman" w:cs="Times New Roman"/>
          <w:color w:val="000000" w:themeColor="text1"/>
        </w:rPr>
        <w:t xml:space="preserve">of </w:t>
      </w:r>
      <w:r w:rsidRPr="00637861">
        <w:rPr>
          <w:rFonts w:ascii="Times New Roman" w:hAnsi="Times New Roman" w:cs="Times New Roman"/>
          <w:color w:val="000000" w:themeColor="text1"/>
        </w:rPr>
        <w:t xml:space="preserve">the normative dimension of green bond terms is </w:t>
      </w:r>
      <w:r w:rsidR="00E6652D">
        <w:rPr>
          <w:rFonts w:ascii="Times New Roman" w:hAnsi="Times New Roman" w:cs="Times New Roman"/>
          <w:color w:val="000000" w:themeColor="text1"/>
        </w:rPr>
        <w:t xml:space="preserve">therefore </w:t>
      </w:r>
      <w:r w:rsidRPr="00637861">
        <w:rPr>
          <w:rFonts w:ascii="Times New Roman" w:hAnsi="Times New Roman" w:cs="Times New Roman"/>
          <w:color w:val="000000" w:themeColor="text1"/>
        </w:rPr>
        <w:t xml:space="preserve">incomplete without </w:t>
      </w:r>
      <w:proofErr w:type="spellStart"/>
      <w:r w:rsidR="00DC10B5">
        <w:rPr>
          <w:rFonts w:ascii="Times New Roman" w:hAnsi="Times New Roman" w:cs="Times New Roman"/>
          <w:color w:val="000000" w:themeColor="text1"/>
        </w:rPr>
        <w:t>a</w:t>
      </w:r>
      <w:proofErr w:type="spellEnd"/>
      <w:r w:rsidR="00DC10B5">
        <w:rPr>
          <w:rFonts w:ascii="Times New Roman" w:hAnsi="Times New Roman" w:cs="Times New Roman"/>
          <w:color w:val="000000" w:themeColor="text1"/>
        </w:rPr>
        <w:t xml:space="preserve"> </w:t>
      </w:r>
      <w:r w:rsidR="00E6652D">
        <w:rPr>
          <w:rFonts w:ascii="Times New Roman" w:hAnsi="Times New Roman" w:cs="Times New Roman"/>
          <w:color w:val="000000" w:themeColor="text1"/>
        </w:rPr>
        <w:t>analysis</w:t>
      </w:r>
      <w:r w:rsidR="00DC10B5" w:rsidRPr="00637861">
        <w:rPr>
          <w:rFonts w:ascii="Times New Roman" w:hAnsi="Times New Roman" w:cs="Times New Roman"/>
          <w:color w:val="000000" w:themeColor="text1"/>
        </w:rPr>
        <w:t xml:space="preserve"> </w:t>
      </w:r>
      <w:r w:rsidR="00E6652D">
        <w:rPr>
          <w:rFonts w:ascii="Times New Roman" w:hAnsi="Times New Roman" w:cs="Times New Roman"/>
          <w:color w:val="000000" w:themeColor="text1"/>
        </w:rPr>
        <w:t>of</w:t>
      </w:r>
      <w:r w:rsidR="00AF4A8F">
        <w:rPr>
          <w:rFonts w:ascii="Times New Roman" w:hAnsi="Times New Roman" w:cs="Times New Roman"/>
          <w:color w:val="000000" w:themeColor="text1"/>
        </w:rPr>
        <w:t xml:space="preserve"> how</w:t>
      </w:r>
      <w:r w:rsidR="00DC10B5">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what preceded it – the negotiation phase – </w:t>
      </w:r>
      <w:r w:rsidR="00AF4A8F">
        <w:rPr>
          <w:rFonts w:ascii="Times New Roman" w:hAnsi="Times New Roman" w:cs="Times New Roman"/>
          <w:color w:val="000000" w:themeColor="text1"/>
        </w:rPr>
        <w:t>differs from the</w:t>
      </w:r>
      <w:r w:rsidRPr="00637861">
        <w:rPr>
          <w:rFonts w:ascii="Times New Roman" w:hAnsi="Times New Roman" w:cs="Times New Roman"/>
          <w:color w:val="000000" w:themeColor="text1"/>
        </w:rPr>
        <w:t xml:space="preserve"> way in which financing would </w:t>
      </w:r>
      <w:r w:rsidR="007D768C">
        <w:rPr>
          <w:rFonts w:ascii="Times New Roman" w:hAnsi="Times New Roman" w:cs="Times New Roman"/>
          <w:color w:val="000000" w:themeColor="text1"/>
        </w:rPr>
        <w:t xml:space="preserve">normally </w:t>
      </w:r>
      <w:r w:rsidRPr="00637861">
        <w:rPr>
          <w:rFonts w:ascii="Times New Roman" w:hAnsi="Times New Roman" w:cs="Times New Roman"/>
          <w:color w:val="000000" w:themeColor="text1"/>
        </w:rPr>
        <w:t xml:space="preserve">have been </w:t>
      </w:r>
      <w:r w:rsidR="007D768C">
        <w:rPr>
          <w:rFonts w:ascii="Times New Roman" w:hAnsi="Times New Roman" w:cs="Times New Roman"/>
          <w:color w:val="000000" w:themeColor="text1"/>
        </w:rPr>
        <w:t>arranged</w:t>
      </w:r>
      <w:r w:rsidRPr="00637861">
        <w:rPr>
          <w:rFonts w:ascii="Times New Roman" w:hAnsi="Times New Roman" w:cs="Times New Roman"/>
          <w:color w:val="000000" w:themeColor="text1"/>
        </w:rPr>
        <w:t>. Th</w:t>
      </w:r>
      <w:r w:rsidR="00DC10B5">
        <w:rPr>
          <w:rFonts w:ascii="Times New Roman" w:hAnsi="Times New Roman" w:cs="Times New Roman"/>
          <w:color w:val="000000" w:themeColor="text1"/>
        </w:rPr>
        <w:t>is</w:t>
      </w:r>
      <w:r w:rsidR="007D768C" w:rsidRPr="00637861">
        <w:rPr>
          <w:rFonts w:ascii="Times New Roman" w:hAnsi="Times New Roman" w:cs="Times New Roman"/>
          <w:color w:val="000000" w:themeColor="text1"/>
        </w:rPr>
        <w:t xml:space="preserve"> </w:t>
      </w:r>
      <w:r w:rsidR="00DC10B5" w:rsidRPr="00637861">
        <w:rPr>
          <w:rFonts w:ascii="Times New Roman" w:hAnsi="Times New Roman" w:cs="Times New Roman"/>
          <w:color w:val="000000" w:themeColor="text1"/>
        </w:rPr>
        <w:t>aspect</w:t>
      </w:r>
      <w:r w:rsidR="00DC10B5">
        <w:rPr>
          <w:rFonts w:ascii="Times New Roman" w:hAnsi="Times New Roman" w:cs="Times New Roman"/>
          <w:color w:val="000000" w:themeColor="text1"/>
        </w:rPr>
        <w:t>’s</w:t>
      </w:r>
      <w:r w:rsidR="00DC10B5" w:rsidRPr="00637861">
        <w:rPr>
          <w:rFonts w:ascii="Times New Roman" w:hAnsi="Times New Roman" w:cs="Times New Roman"/>
          <w:color w:val="000000" w:themeColor="text1"/>
        </w:rPr>
        <w:t xml:space="preserve"> </w:t>
      </w:r>
      <w:r w:rsidR="007D768C" w:rsidRPr="00637861">
        <w:rPr>
          <w:rFonts w:ascii="Times New Roman" w:hAnsi="Times New Roman" w:cs="Times New Roman"/>
          <w:color w:val="000000" w:themeColor="text1"/>
        </w:rPr>
        <w:t>importan</w:t>
      </w:r>
      <w:r w:rsidR="007D768C">
        <w:rPr>
          <w:rFonts w:ascii="Times New Roman" w:hAnsi="Times New Roman" w:cs="Times New Roman"/>
          <w:color w:val="000000" w:themeColor="text1"/>
        </w:rPr>
        <w:t xml:space="preserve">ce </w:t>
      </w:r>
      <w:r w:rsidRPr="00637861">
        <w:rPr>
          <w:rFonts w:ascii="Times New Roman" w:hAnsi="Times New Roman" w:cs="Times New Roman"/>
          <w:color w:val="000000" w:themeColor="text1"/>
        </w:rPr>
        <w:t xml:space="preserve">is suggested by the emphasis that the </w:t>
      </w:r>
      <w:r w:rsidR="007D768C" w:rsidRPr="00637861">
        <w:rPr>
          <w:rFonts w:ascii="Times New Roman" w:hAnsi="Times New Roman" w:cs="Times New Roman"/>
          <w:color w:val="000000" w:themeColor="text1"/>
        </w:rPr>
        <w:t xml:space="preserve">standards </w:t>
      </w:r>
      <w:r w:rsidR="00DC10B5">
        <w:rPr>
          <w:rFonts w:ascii="Times New Roman" w:hAnsi="Times New Roman" w:cs="Times New Roman"/>
          <w:color w:val="000000" w:themeColor="text1"/>
        </w:rPr>
        <w:t>for</w:t>
      </w:r>
      <w:r w:rsidR="007D768C">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sustainable finance place on the </w:t>
      </w:r>
      <w:r w:rsidR="00AF4A8F">
        <w:rPr>
          <w:rFonts w:ascii="Times New Roman" w:hAnsi="Times New Roman" w:cs="Times New Roman"/>
          <w:color w:val="000000" w:themeColor="text1"/>
        </w:rPr>
        <w:t>development</w:t>
      </w:r>
      <w:r w:rsidRPr="00637861">
        <w:rPr>
          <w:rFonts w:ascii="Times New Roman" w:hAnsi="Times New Roman" w:cs="Times New Roman"/>
          <w:color w:val="000000" w:themeColor="text1"/>
        </w:rPr>
        <w:t xml:space="preserve"> of </w:t>
      </w:r>
      <w:r w:rsidR="00AF4A8F">
        <w:rPr>
          <w:rFonts w:ascii="Times New Roman" w:hAnsi="Times New Roman" w:cs="Times New Roman"/>
          <w:color w:val="000000" w:themeColor="text1"/>
        </w:rPr>
        <w:t>the</w:t>
      </w:r>
      <w:r w:rsidRPr="00637861">
        <w:rPr>
          <w:rFonts w:ascii="Times New Roman" w:hAnsi="Times New Roman" w:cs="Times New Roman"/>
          <w:color w:val="000000" w:themeColor="text1"/>
        </w:rPr>
        <w:t xml:space="preserve"> GBF</w:t>
      </w:r>
      <w:r w:rsidR="00AF4A8F">
        <w:rPr>
          <w:rFonts w:ascii="Times New Roman" w:hAnsi="Times New Roman" w:cs="Times New Roman"/>
          <w:color w:val="000000" w:themeColor="text1"/>
        </w:rPr>
        <w:t xml:space="preserve">, including the detail on project selection and </w:t>
      </w:r>
      <w:r w:rsidR="00D43B08">
        <w:rPr>
          <w:rFonts w:ascii="Times New Roman" w:hAnsi="Times New Roman" w:cs="Times New Roman"/>
          <w:color w:val="000000" w:themeColor="text1"/>
        </w:rPr>
        <w:t>management it entails,</w:t>
      </w:r>
      <w:r w:rsidRPr="00637861">
        <w:rPr>
          <w:rFonts w:ascii="Times New Roman" w:hAnsi="Times New Roman" w:cs="Times New Roman"/>
          <w:color w:val="000000" w:themeColor="text1"/>
        </w:rPr>
        <w:t xml:space="preserve"> and </w:t>
      </w:r>
      <w:r w:rsidR="00DC10B5">
        <w:rPr>
          <w:rFonts w:ascii="Times New Roman" w:hAnsi="Times New Roman" w:cs="Times New Roman"/>
          <w:color w:val="000000" w:themeColor="text1"/>
        </w:rPr>
        <w:t xml:space="preserve">by </w:t>
      </w:r>
      <w:r w:rsidRPr="00637861">
        <w:rPr>
          <w:rFonts w:ascii="Times New Roman" w:hAnsi="Times New Roman" w:cs="Times New Roman"/>
          <w:color w:val="000000" w:themeColor="text1"/>
        </w:rPr>
        <w:t xml:space="preserve">the role of external reviewers. What brings firms and banks together and motivates them to discuss sustainable finance instruments? </w:t>
      </w:r>
      <w:r w:rsidR="00A1269D" w:rsidRPr="00637861">
        <w:rPr>
          <w:rFonts w:ascii="Times New Roman" w:hAnsi="Times New Roman" w:cs="Times New Roman"/>
          <w:color w:val="000000" w:themeColor="text1"/>
        </w:rPr>
        <w:t>How</w:t>
      </w:r>
      <w:r w:rsidRPr="00637861">
        <w:rPr>
          <w:rFonts w:ascii="Times New Roman" w:hAnsi="Times New Roman" w:cs="Times New Roman"/>
          <w:color w:val="000000" w:themeColor="text1"/>
        </w:rPr>
        <w:t xml:space="preserve"> </w:t>
      </w:r>
      <w:r w:rsidR="007D768C">
        <w:rPr>
          <w:rFonts w:ascii="Times New Roman" w:hAnsi="Times New Roman" w:cs="Times New Roman"/>
          <w:color w:val="000000" w:themeColor="text1"/>
        </w:rPr>
        <w:t>doe</w:t>
      </w:r>
      <w:r w:rsidR="007D768C" w:rsidRPr="00637861">
        <w:rPr>
          <w:rFonts w:ascii="Times New Roman" w:hAnsi="Times New Roman" w:cs="Times New Roman"/>
          <w:color w:val="000000" w:themeColor="text1"/>
        </w:rPr>
        <w:t xml:space="preserve">s </w:t>
      </w:r>
      <w:r w:rsidRPr="00637861">
        <w:rPr>
          <w:rFonts w:ascii="Times New Roman" w:hAnsi="Times New Roman" w:cs="Times New Roman"/>
          <w:color w:val="000000" w:themeColor="text1"/>
        </w:rPr>
        <w:t xml:space="preserve">the facilitative legal environment </w:t>
      </w:r>
      <w:r w:rsidR="007D768C" w:rsidRPr="00637861">
        <w:rPr>
          <w:rFonts w:ascii="Times New Roman" w:hAnsi="Times New Roman" w:cs="Times New Roman"/>
          <w:color w:val="000000" w:themeColor="text1"/>
        </w:rPr>
        <w:t>shap</w:t>
      </w:r>
      <w:r w:rsidR="007D768C">
        <w:rPr>
          <w:rFonts w:ascii="Times New Roman" w:hAnsi="Times New Roman" w:cs="Times New Roman"/>
          <w:color w:val="000000" w:themeColor="text1"/>
        </w:rPr>
        <w:t>e</w:t>
      </w:r>
      <w:r w:rsidR="007D768C" w:rsidRPr="00637861">
        <w:rPr>
          <w:rFonts w:ascii="Times New Roman" w:hAnsi="Times New Roman" w:cs="Times New Roman"/>
          <w:color w:val="000000" w:themeColor="text1"/>
        </w:rPr>
        <w:t xml:space="preserve"> </w:t>
      </w:r>
      <w:r w:rsidR="00A1269D" w:rsidRPr="00637861">
        <w:rPr>
          <w:rFonts w:ascii="Times New Roman" w:hAnsi="Times New Roman" w:cs="Times New Roman"/>
          <w:color w:val="000000" w:themeColor="text1"/>
        </w:rPr>
        <w:t>the green</w:t>
      </w:r>
      <w:r w:rsidRPr="00637861">
        <w:rPr>
          <w:rFonts w:ascii="Times New Roman" w:hAnsi="Times New Roman" w:cs="Times New Roman"/>
          <w:color w:val="000000" w:themeColor="text1"/>
        </w:rPr>
        <w:t xml:space="preserve"> bond terms? </w:t>
      </w:r>
    </w:p>
    <w:p w14:paraId="586529D5" w14:textId="77777777" w:rsidR="008B2417" w:rsidRDefault="00A1269D"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lastRenderedPageBreak/>
        <w:t>With regard to</w:t>
      </w:r>
      <w:r w:rsidR="008216FA">
        <w:rPr>
          <w:rFonts w:ascii="Times New Roman" w:hAnsi="Times New Roman" w:cs="Times New Roman"/>
          <w:color w:val="000000" w:themeColor="text1"/>
        </w:rPr>
        <w:t xml:space="preserve"> the</w:t>
      </w:r>
      <w:r w:rsidR="008B50D1" w:rsidRPr="00637861">
        <w:rPr>
          <w:rFonts w:ascii="Times New Roman" w:hAnsi="Times New Roman" w:cs="Times New Roman"/>
          <w:color w:val="000000" w:themeColor="text1"/>
        </w:rPr>
        <w:t xml:space="preserve"> regulatory and facilitative aspects of the legal environment that shape the motivations and roles of actors, </w:t>
      </w:r>
      <w:r w:rsidR="00DC10B5">
        <w:rPr>
          <w:rFonts w:ascii="Times New Roman" w:hAnsi="Times New Roman" w:cs="Times New Roman"/>
          <w:color w:val="000000" w:themeColor="text1"/>
        </w:rPr>
        <w:t>the</w:t>
      </w:r>
      <w:r w:rsidR="00DC10B5"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literature points to how banks and companies engage in sustainable finance for different reasons</w:t>
      </w:r>
      <w:r w:rsidR="00DC10B5">
        <w:rPr>
          <w:rFonts w:ascii="Times New Roman" w:hAnsi="Times New Roman" w:cs="Times New Roman"/>
          <w:color w:val="000000" w:themeColor="text1"/>
        </w:rPr>
        <w:t xml:space="preserve"> –</w:t>
      </w:r>
      <w:r w:rsidR="00DC10B5"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reputational benefits, cost of capital</w:t>
      </w:r>
      <w:r w:rsidR="008B50D1" w:rsidRPr="00637861">
        <w:rPr>
          <w:rStyle w:val="Odwoanieprzypisudolnego"/>
          <w:rFonts w:ascii="Times New Roman" w:hAnsi="Times New Roman" w:cs="Times New Roman"/>
          <w:color w:val="000000" w:themeColor="text1"/>
        </w:rPr>
        <w:footnoteReference w:id="71"/>
      </w:r>
      <w:r w:rsidR="008B50D1" w:rsidRPr="00637861">
        <w:rPr>
          <w:rFonts w:ascii="Times New Roman" w:hAnsi="Times New Roman" w:cs="Times New Roman"/>
          <w:color w:val="000000" w:themeColor="text1"/>
        </w:rPr>
        <w:t xml:space="preserve"> or broader strategy implementation</w:t>
      </w:r>
      <w:r w:rsidR="00DC10B5">
        <w:rPr>
          <w:rFonts w:ascii="Times New Roman" w:hAnsi="Times New Roman" w:cs="Times New Roman"/>
          <w:color w:val="000000" w:themeColor="text1"/>
        </w:rPr>
        <w:t xml:space="preserve"> –</w:t>
      </w:r>
      <w:r w:rsidR="00DC10B5"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without differentiating corporate governance or investor protection regimes.</w:t>
      </w:r>
      <w:r w:rsidR="008B50D1" w:rsidRPr="00637861">
        <w:rPr>
          <w:rStyle w:val="Odwoanieprzypisudolnego"/>
          <w:rFonts w:ascii="Times New Roman" w:hAnsi="Times New Roman" w:cs="Times New Roman"/>
          <w:color w:val="000000" w:themeColor="text1"/>
        </w:rPr>
        <w:footnoteReference w:id="72"/>
      </w:r>
      <w:r w:rsidR="008B50D1" w:rsidRPr="00637861">
        <w:rPr>
          <w:rFonts w:ascii="Times New Roman" w:hAnsi="Times New Roman" w:cs="Times New Roman"/>
          <w:color w:val="000000" w:themeColor="text1"/>
        </w:rPr>
        <w:t xml:space="preserve"> However, interviews with market participants suggest that there are important distinctions in</w:t>
      </w:r>
      <w:r w:rsidRPr="00637861">
        <w:rPr>
          <w:rFonts w:ascii="Times New Roman" w:hAnsi="Times New Roman" w:cs="Times New Roman"/>
          <w:color w:val="000000" w:themeColor="text1"/>
        </w:rPr>
        <w:t xml:space="preserve"> </w:t>
      </w:r>
      <w:r w:rsidR="00DC10B5">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actors’</w:t>
      </w:r>
      <w:r w:rsidR="008B50D1" w:rsidRPr="00637861">
        <w:rPr>
          <w:rFonts w:ascii="Times New Roman" w:hAnsi="Times New Roman" w:cs="Times New Roman"/>
          <w:color w:val="000000" w:themeColor="text1"/>
        </w:rPr>
        <w:t xml:space="preserve"> motivations</w:t>
      </w:r>
      <w:r w:rsidR="00DC1FF2">
        <w:rPr>
          <w:rFonts w:ascii="Times New Roman" w:hAnsi="Times New Roman" w:cs="Times New Roman"/>
          <w:color w:val="000000" w:themeColor="text1"/>
        </w:rPr>
        <w:t xml:space="preserve"> that relate to </w:t>
      </w:r>
      <w:r w:rsidR="007860E0">
        <w:rPr>
          <w:rFonts w:ascii="Times New Roman" w:hAnsi="Times New Roman" w:cs="Times New Roman"/>
          <w:color w:val="000000" w:themeColor="text1"/>
        </w:rPr>
        <w:t>law</w:t>
      </w:r>
      <w:r w:rsidR="008B50D1" w:rsidRPr="00637861">
        <w:rPr>
          <w:rFonts w:ascii="Times New Roman" w:hAnsi="Times New Roman" w:cs="Times New Roman"/>
          <w:color w:val="000000" w:themeColor="text1"/>
        </w:rPr>
        <w:t>: for example</w:t>
      </w:r>
      <w:r w:rsidR="00DC10B5">
        <w:rPr>
          <w:rFonts w:ascii="Times New Roman" w:hAnsi="Times New Roman" w:cs="Times New Roman"/>
          <w:color w:val="000000" w:themeColor="text1"/>
        </w:rPr>
        <w:t>,</w:t>
      </w:r>
      <w:r w:rsidR="008B50D1" w:rsidRPr="00637861">
        <w:rPr>
          <w:rFonts w:ascii="Times New Roman" w:hAnsi="Times New Roman" w:cs="Times New Roman"/>
          <w:color w:val="000000" w:themeColor="text1"/>
        </w:rPr>
        <w:t xml:space="preserve"> interviewees involved in Swedish issuances prioritise corporate governance rules, whereas in other jurisdictions it is rather the reputational and compliance considerations.</w:t>
      </w:r>
      <w:r w:rsidR="008B50D1" w:rsidRPr="00637861">
        <w:rPr>
          <w:rStyle w:val="Odwoanieprzypisudolnego"/>
          <w:rFonts w:ascii="Times New Roman" w:hAnsi="Times New Roman" w:cs="Times New Roman"/>
          <w:color w:val="000000" w:themeColor="text1"/>
        </w:rPr>
        <w:footnoteReference w:id="73"/>
      </w:r>
      <w:r w:rsidR="008B50D1" w:rsidRPr="00637861">
        <w:rPr>
          <w:rFonts w:ascii="Times New Roman" w:hAnsi="Times New Roman" w:cs="Times New Roman"/>
          <w:color w:val="000000" w:themeColor="text1"/>
        </w:rPr>
        <w:t xml:space="preserve"> In addition, it is </w:t>
      </w:r>
      <w:r w:rsidR="00DC10B5" w:rsidRPr="00637861">
        <w:rPr>
          <w:rFonts w:ascii="Times New Roman" w:hAnsi="Times New Roman" w:cs="Times New Roman"/>
          <w:color w:val="000000" w:themeColor="text1"/>
        </w:rPr>
        <w:t xml:space="preserve">often </w:t>
      </w:r>
      <w:r w:rsidR="008B50D1" w:rsidRPr="00637861">
        <w:rPr>
          <w:rFonts w:ascii="Times New Roman" w:hAnsi="Times New Roman" w:cs="Times New Roman"/>
          <w:color w:val="000000" w:themeColor="text1"/>
        </w:rPr>
        <w:t>the financial institutions</w:t>
      </w:r>
      <w:r w:rsidR="00DB7D12">
        <w:rPr>
          <w:rFonts w:ascii="Times New Roman" w:hAnsi="Times New Roman" w:cs="Times New Roman"/>
          <w:color w:val="000000" w:themeColor="text1"/>
        </w:rPr>
        <w:t xml:space="preserve"> that</w:t>
      </w:r>
      <w:r w:rsidR="008B50D1" w:rsidRPr="00637861">
        <w:rPr>
          <w:rFonts w:ascii="Times New Roman" w:hAnsi="Times New Roman" w:cs="Times New Roman"/>
          <w:color w:val="000000" w:themeColor="text1"/>
        </w:rPr>
        <w:t>, e.g. due to investor demands or supervisory concerns, ‘nudge’ clients towards sustainable product offering</w:t>
      </w:r>
      <w:r w:rsidR="00DC10B5">
        <w:rPr>
          <w:rFonts w:ascii="Times New Roman" w:hAnsi="Times New Roman" w:cs="Times New Roman"/>
          <w:color w:val="000000" w:themeColor="text1"/>
        </w:rPr>
        <w:t>s</w:t>
      </w:r>
      <w:r w:rsidR="008B50D1" w:rsidRPr="00637861">
        <w:rPr>
          <w:rFonts w:ascii="Times New Roman" w:hAnsi="Times New Roman" w:cs="Times New Roman"/>
          <w:color w:val="000000" w:themeColor="text1"/>
        </w:rPr>
        <w:t>, as opposed to the other way round.</w:t>
      </w:r>
      <w:r w:rsidR="008B50D1" w:rsidRPr="00637861">
        <w:rPr>
          <w:rStyle w:val="Odwoanieprzypisudolnego"/>
          <w:rFonts w:ascii="Times New Roman" w:hAnsi="Times New Roman" w:cs="Times New Roman"/>
          <w:color w:val="000000" w:themeColor="text1"/>
        </w:rPr>
        <w:footnoteReference w:id="74"/>
      </w:r>
      <w:r w:rsidR="008B50D1" w:rsidRPr="00637861">
        <w:rPr>
          <w:rFonts w:ascii="Times New Roman" w:hAnsi="Times New Roman" w:cs="Times New Roman"/>
          <w:color w:val="000000" w:themeColor="text1"/>
        </w:rPr>
        <w:t xml:space="preserve"> </w:t>
      </w:r>
    </w:p>
    <w:p w14:paraId="5560455B" w14:textId="6365D13C" w:rsidR="008B50D1" w:rsidRPr="00637861" w:rsidRDefault="00F6306C" w:rsidP="00A05A67">
      <w:pPr>
        <w:spacing w:after="12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Sustainable finance</w:t>
      </w:r>
      <w:r w:rsidR="00B36E26">
        <w:rPr>
          <w:rFonts w:ascii="Times New Roman" w:hAnsi="Times New Roman" w:cs="Times New Roman"/>
          <w:color w:val="000000" w:themeColor="text1"/>
        </w:rPr>
        <w:t xml:space="preserve"> and the legal standards that shape it trigger</w:t>
      </w:r>
      <w:r w:rsidR="008B50D1" w:rsidRPr="00637861">
        <w:rPr>
          <w:rFonts w:ascii="Times New Roman" w:hAnsi="Times New Roman" w:cs="Times New Roman"/>
          <w:color w:val="000000" w:themeColor="text1"/>
        </w:rPr>
        <w:t xml:space="preserve"> shift</w:t>
      </w:r>
      <w:r w:rsidR="008B2417">
        <w:rPr>
          <w:rFonts w:ascii="Times New Roman" w:hAnsi="Times New Roman" w:cs="Times New Roman"/>
          <w:color w:val="000000" w:themeColor="text1"/>
        </w:rPr>
        <w:t>s</w:t>
      </w:r>
      <w:r w:rsidR="008B50D1" w:rsidRPr="00637861">
        <w:rPr>
          <w:rFonts w:ascii="Times New Roman" w:hAnsi="Times New Roman" w:cs="Times New Roman"/>
          <w:color w:val="000000" w:themeColor="text1"/>
        </w:rPr>
        <w:t xml:space="preserve"> </w:t>
      </w:r>
      <w:r w:rsidR="00B36E26">
        <w:rPr>
          <w:rFonts w:ascii="Times New Roman" w:hAnsi="Times New Roman" w:cs="Times New Roman"/>
          <w:color w:val="000000" w:themeColor="text1"/>
        </w:rPr>
        <w:t>in the</w:t>
      </w:r>
      <w:r w:rsidR="008B50D1" w:rsidRPr="00637861">
        <w:rPr>
          <w:rFonts w:ascii="Times New Roman" w:hAnsi="Times New Roman" w:cs="Times New Roman"/>
          <w:color w:val="000000" w:themeColor="text1"/>
        </w:rPr>
        <w:t xml:space="preserve"> roles that affects </w:t>
      </w:r>
      <w:r w:rsidR="00DC10B5">
        <w:rPr>
          <w:rFonts w:ascii="Times New Roman" w:hAnsi="Times New Roman" w:cs="Times New Roman"/>
          <w:color w:val="000000" w:themeColor="text1"/>
        </w:rPr>
        <w:t>more than the way the</w:t>
      </w:r>
      <w:r w:rsidR="008B50D1" w:rsidRPr="00637861">
        <w:rPr>
          <w:rFonts w:ascii="Times New Roman" w:hAnsi="Times New Roman" w:cs="Times New Roman"/>
          <w:color w:val="000000" w:themeColor="text1"/>
        </w:rPr>
        <w:t xml:space="preserve"> actors are brought together. First</w:t>
      </w:r>
      <w:r w:rsidR="00DC10B5">
        <w:rPr>
          <w:rFonts w:ascii="Times New Roman" w:hAnsi="Times New Roman" w:cs="Times New Roman"/>
          <w:color w:val="000000" w:themeColor="text1"/>
        </w:rPr>
        <w:t>ly</w:t>
      </w:r>
      <w:r w:rsidR="008B50D1" w:rsidRPr="00637861">
        <w:rPr>
          <w:rFonts w:ascii="Times New Roman" w:hAnsi="Times New Roman" w:cs="Times New Roman"/>
          <w:color w:val="000000" w:themeColor="text1"/>
        </w:rPr>
        <w:t xml:space="preserve">, for sustainable finance transactions involving numerous financial institutions, a new role of sustainability coordinator has been created. This designated bank is tasked with a leading role </w:t>
      </w:r>
      <w:r w:rsidR="00DC10B5">
        <w:rPr>
          <w:rFonts w:ascii="Times New Roman" w:hAnsi="Times New Roman" w:cs="Times New Roman"/>
          <w:color w:val="000000" w:themeColor="text1"/>
        </w:rPr>
        <w:t>in</w:t>
      </w:r>
      <w:r w:rsidR="00DC10B5"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negotia</w:t>
      </w:r>
      <w:r w:rsidR="00DC10B5">
        <w:rPr>
          <w:rFonts w:ascii="Times New Roman" w:hAnsi="Times New Roman" w:cs="Times New Roman"/>
          <w:color w:val="000000" w:themeColor="text1"/>
        </w:rPr>
        <w:t>ting</w:t>
      </w:r>
      <w:r w:rsidR="008B50D1" w:rsidRPr="00637861">
        <w:rPr>
          <w:rFonts w:ascii="Times New Roman" w:hAnsi="Times New Roman" w:cs="Times New Roman"/>
          <w:color w:val="000000" w:themeColor="text1"/>
        </w:rPr>
        <w:t xml:space="preserve"> the sustainability</w:t>
      </w:r>
      <w:r w:rsidR="00DC10B5">
        <w:rPr>
          <w:rFonts w:ascii="Times New Roman" w:hAnsi="Times New Roman" w:cs="Times New Roman"/>
          <w:color w:val="000000" w:themeColor="text1"/>
        </w:rPr>
        <w:t>-</w:t>
      </w:r>
      <w:r w:rsidR="008B50D1" w:rsidRPr="00637861">
        <w:rPr>
          <w:rFonts w:ascii="Times New Roman" w:hAnsi="Times New Roman" w:cs="Times New Roman"/>
          <w:color w:val="000000" w:themeColor="text1"/>
        </w:rPr>
        <w:t xml:space="preserve">related aspects of the terms of issue, which requires </w:t>
      </w:r>
      <w:r w:rsidR="00DC10B5">
        <w:rPr>
          <w:rFonts w:ascii="Times New Roman" w:hAnsi="Times New Roman" w:cs="Times New Roman"/>
          <w:color w:val="000000" w:themeColor="text1"/>
        </w:rPr>
        <w:t xml:space="preserve">a </w:t>
      </w:r>
      <w:r w:rsidR="008B50D1" w:rsidRPr="00637861">
        <w:rPr>
          <w:rFonts w:ascii="Times New Roman" w:hAnsi="Times New Roman" w:cs="Times New Roman"/>
          <w:color w:val="000000" w:themeColor="text1"/>
        </w:rPr>
        <w:t xml:space="preserve">dedicated type of </w:t>
      </w:r>
      <w:r w:rsidR="00DC10B5" w:rsidRPr="00637861">
        <w:rPr>
          <w:rFonts w:ascii="Times New Roman" w:hAnsi="Times New Roman" w:cs="Times New Roman"/>
          <w:color w:val="000000" w:themeColor="text1"/>
        </w:rPr>
        <w:t xml:space="preserve">expertise </w:t>
      </w:r>
      <w:r w:rsidR="00DC10B5">
        <w:rPr>
          <w:rFonts w:ascii="Times New Roman" w:hAnsi="Times New Roman" w:cs="Times New Roman"/>
          <w:color w:val="000000" w:themeColor="text1"/>
        </w:rPr>
        <w:t xml:space="preserve">on </w:t>
      </w:r>
      <w:r w:rsidR="008B50D1" w:rsidRPr="00637861">
        <w:rPr>
          <w:rFonts w:ascii="Times New Roman" w:hAnsi="Times New Roman" w:cs="Times New Roman"/>
          <w:color w:val="000000" w:themeColor="text1"/>
        </w:rPr>
        <w:t>sustainability within the organisation.</w:t>
      </w:r>
      <w:r w:rsidR="008B50D1" w:rsidRPr="00637861">
        <w:rPr>
          <w:rStyle w:val="Odwoanieprzypisudolnego"/>
          <w:rFonts w:ascii="Times New Roman" w:hAnsi="Times New Roman" w:cs="Times New Roman"/>
          <w:color w:val="000000" w:themeColor="text1"/>
        </w:rPr>
        <w:footnoteReference w:id="75"/>
      </w:r>
      <w:r w:rsidR="00B36E26">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Second</w:t>
      </w:r>
      <w:r w:rsidR="00DC10B5">
        <w:rPr>
          <w:rFonts w:ascii="Times New Roman" w:hAnsi="Times New Roman" w:cs="Times New Roman"/>
          <w:color w:val="000000" w:themeColor="text1"/>
        </w:rPr>
        <w:t>ly</w:t>
      </w:r>
      <w:r w:rsidR="008B50D1" w:rsidRPr="00637861">
        <w:rPr>
          <w:rFonts w:ascii="Times New Roman" w:hAnsi="Times New Roman" w:cs="Times New Roman"/>
          <w:color w:val="000000" w:themeColor="text1"/>
        </w:rPr>
        <w:t>, new actors gain influence over the type of projects that are to be financed</w:t>
      </w:r>
      <w:r w:rsidR="00A1269D" w:rsidRPr="00637861">
        <w:rPr>
          <w:rFonts w:ascii="Times New Roman" w:hAnsi="Times New Roman" w:cs="Times New Roman"/>
          <w:color w:val="000000" w:themeColor="text1"/>
        </w:rPr>
        <w:t>. S</w:t>
      </w:r>
      <w:r w:rsidR="008B50D1" w:rsidRPr="00637861">
        <w:rPr>
          <w:rFonts w:ascii="Times New Roman" w:hAnsi="Times New Roman" w:cs="Times New Roman"/>
          <w:color w:val="000000" w:themeColor="text1"/>
        </w:rPr>
        <w:t>pecialised sustainability experts have emerged to provide external verification of the sustainability pledges outlined in GBFs of the firms seeking ‘sustainable’ financing</w:t>
      </w:r>
      <w:r w:rsidR="00A1269D" w:rsidRPr="00637861">
        <w:rPr>
          <w:rFonts w:ascii="Times New Roman" w:hAnsi="Times New Roman" w:cs="Times New Roman"/>
          <w:color w:val="000000" w:themeColor="text1"/>
        </w:rPr>
        <w:t>.</w:t>
      </w:r>
      <w:r w:rsidR="008B50D1" w:rsidRPr="00637861">
        <w:rPr>
          <w:rFonts w:ascii="Times New Roman" w:hAnsi="Times New Roman" w:cs="Times New Roman"/>
          <w:color w:val="000000" w:themeColor="text1"/>
        </w:rPr>
        <w:t xml:space="preserve"> </w:t>
      </w:r>
      <w:r w:rsidR="00A1269D" w:rsidRPr="00637861">
        <w:rPr>
          <w:rFonts w:ascii="Times New Roman" w:hAnsi="Times New Roman" w:cs="Times New Roman"/>
          <w:color w:val="000000" w:themeColor="text1"/>
        </w:rPr>
        <w:t xml:space="preserve">Such services take the </w:t>
      </w:r>
      <w:r w:rsidR="008B50D1" w:rsidRPr="00637861">
        <w:rPr>
          <w:rFonts w:ascii="Times New Roman" w:hAnsi="Times New Roman" w:cs="Times New Roman"/>
          <w:color w:val="000000" w:themeColor="text1"/>
        </w:rPr>
        <w:t xml:space="preserve">form of </w:t>
      </w:r>
      <w:r w:rsidR="00A1269D" w:rsidRPr="00637861">
        <w:rPr>
          <w:rFonts w:ascii="Times New Roman" w:hAnsi="Times New Roman" w:cs="Times New Roman"/>
          <w:color w:val="000000" w:themeColor="text1"/>
        </w:rPr>
        <w:t>second party opinions (</w:t>
      </w:r>
      <w:r w:rsidR="008B50D1" w:rsidRPr="00637861">
        <w:rPr>
          <w:rFonts w:ascii="Times New Roman" w:hAnsi="Times New Roman" w:cs="Times New Roman"/>
          <w:color w:val="000000" w:themeColor="text1"/>
        </w:rPr>
        <w:t>SPOs</w:t>
      </w:r>
      <w:r w:rsidR="00A1269D" w:rsidRPr="00637861">
        <w:rPr>
          <w:rFonts w:ascii="Times New Roman" w:hAnsi="Times New Roman" w:cs="Times New Roman"/>
          <w:color w:val="000000" w:themeColor="text1"/>
        </w:rPr>
        <w:t xml:space="preserve">), assurance or </w:t>
      </w:r>
      <w:r w:rsidR="008B50D1" w:rsidRPr="00637861">
        <w:rPr>
          <w:rFonts w:ascii="Times New Roman" w:hAnsi="Times New Roman" w:cs="Times New Roman"/>
          <w:color w:val="000000" w:themeColor="text1"/>
        </w:rPr>
        <w:t>ESG ratings, which may inform the structure of sustainability-linked financing</w:t>
      </w:r>
      <w:r w:rsidR="00563FA2">
        <w:rPr>
          <w:rFonts w:ascii="Times New Roman" w:hAnsi="Times New Roman" w:cs="Times New Roman"/>
          <w:color w:val="000000" w:themeColor="text1"/>
        </w:rPr>
        <w:t xml:space="preserve"> for example by being linked to specific step-up or step-down events </w:t>
      </w:r>
      <w:r w:rsidR="00563FA2">
        <w:rPr>
          <w:rFonts w:ascii="Times New Roman" w:hAnsi="Times New Roman" w:cs="Times New Roman"/>
          <w:color w:val="000000" w:themeColor="text1"/>
        </w:rPr>
        <w:lastRenderedPageBreak/>
        <w:t>triggering changes in coupon rates</w:t>
      </w:r>
      <w:r w:rsidR="008B50D1" w:rsidRPr="00637861">
        <w:rPr>
          <w:rFonts w:ascii="Times New Roman" w:hAnsi="Times New Roman" w:cs="Times New Roman"/>
          <w:color w:val="000000" w:themeColor="text1"/>
        </w:rPr>
        <w:t xml:space="preserve">. </w:t>
      </w:r>
      <w:r w:rsidR="00A1269D" w:rsidRPr="00637861">
        <w:rPr>
          <w:rFonts w:ascii="Times New Roman" w:hAnsi="Times New Roman" w:cs="Times New Roman"/>
          <w:color w:val="000000" w:themeColor="text1"/>
        </w:rPr>
        <w:t>In this way, (new)</w:t>
      </w:r>
      <w:r w:rsidR="008B50D1" w:rsidRPr="00637861">
        <w:rPr>
          <w:rFonts w:ascii="Times New Roman" w:hAnsi="Times New Roman" w:cs="Times New Roman"/>
          <w:color w:val="000000" w:themeColor="text1"/>
        </w:rPr>
        <w:t xml:space="preserve"> external parties become an integral part of the financing relationship up until the maturity of the debt, where they verify subsequent reports from the issuer or adjust </w:t>
      </w:r>
      <w:r w:rsidR="00467A47">
        <w:rPr>
          <w:rFonts w:ascii="Times New Roman" w:hAnsi="Times New Roman" w:cs="Times New Roman"/>
          <w:color w:val="000000" w:themeColor="text1"/>
        </w:rPr>
        <w:t xml:space="preserve">the </w:t>
      </w:r>
      <w:r w:rsidR="008B50D1" w:rsidRPr="00637861">
        <w:rPr>
          <w:rFonts w:ascii="Times New Roman" w:hAnsi="Times New Roman" w:cs="Times New Roman"/>
          <w:color w:val="000000" w:themeColor="text1"/>
        </w:rPr>
        <w:t xml:space="preserve">ESG rating of the company. </w:t>
      </w:r>
    </w:p>
    <w:p w14:paraId="12361D46" w14:textId="75560EC4" w:rsidR="008B50D1" w:rsidRPr="00637861" w:rsidRDefault="008B50D1" w:rsidP="009B762F">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These transformations draw our attention to the dynamics of differentiation (vis-à-vis traditional finance) and expansion (in terms of </w:t>
      </w:r>
      <w:r w:rsidR="00467A47">
        <w:rPr>
          <w:rFonts w:ascii="Times New Roman" w:hAnsi="Times New Roman" w:cs="Times New Roman"/>
          <w:color w:val="000000" w:themeColor="text1"/>
        </w:rPr>
        <w:t>the great</w:t>
      </w:r>
      <w:r w:rsidR="00467A47" w:rsidRPr="00637861">
        <w:rPr>
          <w:rFonts w:ascii="Times New Roman" w:hAnsi="Times New Roman" w:cs="Times New Roman"/>
          <w:color w:val="000000" w:themeColor="text1"/>
        </w:rPr>
        <w:t>e</w:t>
      </w:r>
      <w:r w:rsidR="00467A47">
        <w:rPr>
          <w:rFonts w:ascii="Times New Roman" w:hAnsi="Times New Roman" w:cs="Times New Roman"/>
          <w:color w:val="000000" w:themeColor="text1"/>
        </w:rPr>
        <w:t>r</w:t>
      </w:r>
      <w:r w:rsidR="00467A47"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inclusivity of the process) in the legal environment of sustainable finance. Sustainable financing involves two important changes as compared to traditional negotiations: first</w:t>
      </w:r>
      <w:r w:rsidR="00467A47">
        <w:rPr>
          <w:rFonts w:ascii="Times New Roman" w:hAnsi="Times New Roman" w:cs="Times New Roman"/>
          <w:color w:val="000000" w:themeColor="text1"/>
        </w:rPr>
        <w:t>ly</w:t>
      </w:r>
      <w:r w:rsidRPr="00637861">
        <w:rPr>
          <w:rFonts w:ascii="Times New Roman" w:hAnsi="Times New Roman" w:cs="Times New Roman"/>
          <w:color w:val="000000" w:themeColor="text1"/>
        </w:rPr>
        <w:t xml:space="preserve">, it accords </w:t>
      </w:r>
      <w:r w:rsidR="00467A47">
        <w:rPr>
          <w:rFonts w:ascii="Times New Roman" w:hAnsi="Times New Roman" w:cs="Times New Roman"/>
          <w:color w:val="000000" w:themeColor="text1"/>
        </w:rPr>
        <w:t xml:space="preserve">a </w:t>
      </w:r>
      <w:r w:rsidRPr="00637861">
        <w:rPr>
          <w:rFonts w:ascii="Times New Roman" w:hAnsi="Times New Roman" w:cs="Times New Roman"/>
          <w:color w:val="000000" w:themeColor="text1"/>
        </w:rPr>
        <w:t>special place to sustainability topics as part of the discussion of mutual expectations</w:t>
      </w:r>
      <w:r w:rsidR="00467A47">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second</w:t>
      </w:r>
      <w:r w:rsidR="00467A47">
        <w:rPr>
          <w:rFonts w:ascii="Times New Roman" w:hAnsi="Times New Roman" w:cs="Times New Roman"/>
          <w:color w:val="000000" w:themeColor="text1"/>
        </w:rPr>
        <w:t>ly</w:t>
      </w:r>
      <w:r w:rsidRPr="00637861">
        <w:rPr>
          <w:rFonts w:ascii="Times New Roman" w:hAnsi="Times New Roman" w:cs="Times New Roman"/>
          <w:color w:val="000000" w:themeColor="text1"/>
        </w:rPr>
        <w:t>, it involves new roles and actors. Both these changes are relevant and consequential from the perspective of exploring the constitutive role of law in sustainable finance</w:t>
      </w:r>
      <w:r w:rsidR="00467A47">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where they </w:t>
      </w:r>
      <w:r w:rsidR="003E74FB">
        <w:rPr>
          <w:rFonts w:ascii="Times New Roman" w:hAnsi="Times New Roman" w:cs="Times New Roman"/>
          <w:color w:val="000000" w:themeColor="text1"/>
        </w:rPr>
        <w:t>alter</w:t>
      </w:r>
      <w:r w:rsidRPr="00637861">
        <w:rPr>
          <w:rFonts w:ascii="Times New Roman" w:hAnsi="Times New Roman" w:cs="Times New Roman"/>
          <w:color w:val="000000" w:themeColor="text1"/>
        </w:rPr>
        <w:t xml:space="preserve"> the facilitative legal environment and are intertwined with the regulatory aspects, such the corporate governance regime</w:t>
      </w:r>
      <w:r w:rsidR="00A1269D" w:rsidRPr="00637861">
        <w:rPr>
          <w:rFonts w:ascii="Times New Roman" w:hAnsi="Times New Roman" w:cs="Times New Roman"/>
          <w:color w:val="000000" w:themeColor="text1"/>
        </w:rPr>
        <w:t>s</w:t>
      </w:r>
      <w:r w:rsidRPr="00637861">
        <w:rPr>
          <w:rFonts w:ascii="Times New Roman" w:hAnsi="Times New Roman" w:cs="Times New Roman"/>
          <w:color w:val="000000" w:themeColor="text1"/>
        </w:rPr>
        <w:t xml:space="preserve"> that frame the motivations of the actors. With the new motivations of borrowers and lenders comes the demand for new kinds of knowledge, namely sustainability knowledge. Such expertise is not external to the negotiation process, as might have been the case in the past (e.g. for technical expertise relating to </w:t>
      </w:r>
      <w:r w:rsidR="00467A47" w:rsidRPr="00637861">
        <w:rPr>
          <w:rFonts w:ascii="Times New Roman" w:hAnsi="Times New Roman" w:cs="Times New Roman"/>
          <w:color w:val="000000" w:themeColor="text1"/>
        </w:rPr>
        <w:t>the project</w:t>
      </w:r>
      <w:r w:rsidR="00467A47">
        <w:rPr>
          <w:rFonts w:ascii="Times New Roman" w:hAnsi="Times New Roman" w:cs="Times New Roman"/>
          <w:color w:val="000000" w:themeColor="text1"/>
        </w:rPr>
        <w:t>’s</w:t>
      </w:r>
      <w:r w:rsidR="00467A47"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feasibility), but becomes an integral part and object of the discussions – the facilitative dimension of the legal environment thus contributes to laying the foundations for green bonds as a distinct financial instrument.  </w:t>
      </w:r>
    </w:p>
    <w:p w14:paraId="739A7C95" w14:textId="77777777" w:rsidR="008B50D1" w:rsidRPr="00637861" w:rsidRDefault="008B50D1" w:rsidP="00A05A67">
      <w:pPr>
        <w:spacing w:after="120" w:line="360" w:lineRule="auto"/>
        <w:jc w:val="both"/>
        <w:rPr>
          <w:rFonts w:ascii="Times New Roman" w:hAnsi="Times New Roman" w:cs="Times New Roman"/>
          <w:color w:val="000000" w:themeColor="text1"/>
        </w:rPr>
      </w:pPr>
    </w:p>
    <w:p w14:paraId="2344A89E" w14:textId="74F5101D" w:rsidR="008B50D1" w:rsidRPr="00637861" w:rsidRDefault="008B50D1" w:rsidP="00A05A67">
      <w:pPr>
        <w:pStyle w:val="Nagwek2"/>
        <w:numPr>
          <w:ilvl w:val="0"/>
          <w:numId w:val="19"/>
        </w:numPr>
        <w:spacing w:before="0" w:after="120" w:line="360" w:lineRule="auto"/>
        <w:jc w:val="both"/>
        <w:rPr>
          <w:rFonts w:ascii="Times New Roman" w:hAnsi="Times New Roman" w:cs="Times New Roman"/>
          <w:b/>
          <w:bCs/>
          <w:color w:val="000000" w:themeColor="text1"/>
          <w:sz w:val="24"/>
          <w:szCs w:val="24"/>
        </w:rPr>
      </w:pPr>
      <w:r w:rsidRPr="00637861">
        <w:rPr>
          <w:rFonts w:ascii="Times New Roman" w:hAnsi="Times New Roman" w:cs="Times New Roman"/>
          <w:b/>
          <w:bCs/>
          <w:color w:val="000000" w:themeColor="text1"/>
          <w:sz w:val="24"/>
          <w:szCs w:val="24"/>
        </w:rPr>
        <w:t xml:space="preserve">Monitoring and marketing of green bonds </w:t>
      </w:r>
    </w:p>
    <w:p w14:paraId="42302153" w14:textId="2E702F15"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The sustainability performance of the </w:t>
      </w:r>
      <w:r w:rsidR="000770B9" w:rsidRPr="00637861">
        <w:rPr>
          <w:rFonts w:ascii="Times New Roman" w:hAnsi="Times New Roman" w:cs="Times New Roman"/>
          <w:color w:val="000000" w:themeColor="text1"/>
        </w:rPr>
        <w:t>corporat</w:t>
      </w:r>
      <w:r w:rsidR="000770B9">
        <w:rPr>
          <w:rFonts w:ascii="Times New Roman" w:hAnsi="Times New Roman" w:cs="Times New Roman"/>
          <w:color w:val="000000" w:themeColor="text1"/>
        </w:rPr>
        <w:t>ion</w:t>
      </w:r>
      <w:r w:rsidR="000770B9" w:rsidRPr="00637861">
        <w:rPr>
          <w:rFonts w:ascii="Times New Roman" w:hAnsi="Times New Roman" w:cs="Times New Roman"/>
          <w:color w:val="000000" w:themeColor="text1"/>
        </w:rPr>
        <w:t xml:space="preserve">s </w:t>
      </w:r>
      <w:r w:rsidRPr="00637861">
        <w:rPr>
          <w:rFonts w:ascii="Times New Roman" w:hAnsi="Times New Roman" w:cs="Times New Roman"/>
          <w:color w:val="000000" w:themeColor="text1"/>
        </w:rPr>
        <w:t xml:space="preserve">issuing green bonds is another area where we can identify distinguishing features of </w:t>
      </w:r>
      <w:r w:rsidR="000770B9">
        <w:rPr>
          <w:rFonts w:ascii="Times New Roman" w:hAnsi="Times New Roman" w:cs="Times New Roman"/>
          <w:color w:val="000000" w:themeColor="text1"/>
        </w:rPr>
        <w:t>sustainability</w:t>
      </w:r>
      <w:r w:rsidR="000770B9"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financing that influence and are influenced by the legal environment. Even the concern about greenwashing, so often raised in the context of sustainable finance, is evidence of increased scrutiny over</w:t>
      </w:r>
      <w:r w:rsidR="00CD34E7">
        <w:rPr>
          <w:rFonts w:ascii="Times New Roman" w:hAnsi="Times New Roman" w:cs="Times New Roman"/>
          <w:color w:val="000000" w:themeColor="text1"/>
        </w:rPr>
        <w:t xml:space="preserve"> the</w:t>
      </w:r>
      <w:r w:rsidRPr="00637861">
        <w:rPr>
          <w:rFonts w:ascii="Times New Roman" w:hAnsi="Times New Roman" w:cs="Times New Roman"/>
          <w:color w:val="000000" w:themeColor="text1"/>
        </w:rPr>
        <w:t xml:space="preserve"> corporate</w:t>
      </w:r>
      <w:r w:rsidR="00AA17FC">
        <w:rPr>
          <w:rFonts w:ascii="Times New Roman" w:hAnsi="Times New Roman" w:cs="Times New Roman"/>
          <w:color w:val="000000" w:themeColor="text1"/>
        </w:rPr>
        <w:t xml:space="preserve"> bond</w:t>
      </w:r>
      <w:r w:rsidRPr="00637861">
        <w:rPr>
          <w:rFonts w:ascii="Times New Roman" w:hAnsi="Times New Roman" w:cs="Times New Roman"/>
          <w:color w:val="000000" w:themeColor="text1"/>
        </w:rPr>
        <w:t>s</w:t>
      </w:r>
      <w:r w:rsidR="00AA17FC">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financing terms as well as of increased access to information about the </w:t>
      </w:r>
      <w:r w:rsidR="00AA17FC">
        <w:rPr>
          <w:rFonts w:ascii="Times New Roman" w:hAnsi="Times New Roman" w:cs="Times New Roman"/>
          <w:color w:val="000000" w:themeColor="text1"/>
        </w:rPr>
        <w:t xml:space="preserve">firms’ </w:t>
      </w:r>
      <w:r w:rsidRPr="00637861">
        <w:rPr>
          <w:rFonts w:ascii="Times New Roman" w:hAnsi="Times New Roman" w:cs="Times New Roman"/>
          <w:color w:val="000000" w:themeColor="text1"/>
        </w:rPr>
        <w:t>environmental and social performance. As in the case of sustainable finance negotiations, the facilitative environment of green bonds following the issuances differs from that of ‘traditional’ financial instruments.</w:t>
      </w:r>
    </w:p>
    <w:p w14:paraId="2E77FAD3" w14:textId="08C4F894"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Following the conclusion of </w:t>
      </w:r>
      <w:r w:rsidR="000770B9">
        <w:rPr>
          <w:rFonts w:ascii="Times New Roman" w:hAnsi="Times New Roman" w:cs="Times New Roman"/>
          <w:color w:val="000000" w:themeColor="text1"/>
        </w:rPr>
        <w:t>a</w:t>
      </w:r>
      <w:r w:rsidR="000770B9"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contract</w:t>
      </w:r>
      <w:r w:rsidR="00332FCE">
        <w:rPr>
          <w:rFonts w:ascii="Times New Roman" w:hAnsi="Times New Roman" w:cs="Times New Roman"/>
          <w:color w:val="000000" w:themeColor="text1"/>
        </w:rPr>
        <w:t xml:space="preserve"> and the issuance of debt</w:t>
      </w:r>
      <w:r w:rsidRPr="00637861">
        <w:rPr>
          <w:rFonts w:ascii="Times New Roman" w:hAnsi="Times New Roman" w:cs="Times New Roman"/>
          <w:color w:val="000000" w:themeColor="text1"/>
        </w:rPr>
        <w:t xml:space="preserve">, sustainable finance instruments are distinguished by the bespoke external governance regime that relies on monitoring and marketing rather than judicial routes. Cases of private </w:t>
      </w:r>
      <w:r w:rsidRPr="00637861">
        <w:rPr>
          <w:rFonts w:ascii="Times New Roman" w:hAnsi="Times New Roman" w:cs="Times New Roman"/>
          <w:color w:val="000000" w:themeColor="text1"/>
        </w:rPr>
        <w:lastRenderedPageBreak/>
        <w:t xml:space="preserve">enforcement related to sustainable finance instruments are </w:t>
      </w:r>
      <w:r w:rsidR="00A1269D" w:rsidRPr="00637861">
        <w:rPr>
          <w:rFonts w:ascii="Times New Roman" w:hAnsi="Times New Roman" w:cs="Times New Roman"/>
          <w:color w:val="000000" w:themeColor="text1"/>
        </w:rPr>
        <w:t>almost</w:t>
      </w:r>
      <w:r w:rsidRPr="00637861">
        <w:rPr>
          <w:rFonts w:ascii="Times New Roman" w:hAnsi="Times New Roman" w:cs="Times New Roman"/>
          <w:color w:val="000000" w:themeColor="text1"/>
        </w:rPr>
        <w:t xml:space="preserve"> non</w:t>
      </w:r>
      <w:r w:rsidR="00A1269D" w:rsidRPr="00637861">
        <w:rPr>
          <w:rFonts w:ascii="Times New Roman" w:hAnsi="Times New Roman" w:cs="Times New Roman"/>
          <w:color w:val="000000" w:themeColor="text1"/>
        </w:rPr>
        <w:t>-</w:t>
      </w:r>
      <w:r w:rsidRPr="00637861">
        <w:rPr>
          <w:rFonts w:ascii="Times New Roman" w:hAnsi="Times New Roman" w:cs="Times New Roman"/>
          <w:color w:val="000000" w:themeColor="text1"/>
        </w:rPr>
        <w:t>existent,</w:t>
      </w:r>
      <w:r w:rsidRPr="00637861">
        <w:rPr>
          <w:rStyle w:val="Odwoanieprzypisudolnego"/>
          <w:rFonts w:ascii="Times New Roman" w:hAnsi="Times New Roman" w:cs="Times New Roman"/>
          <w:color w:val="000000" w:themeColor="text1"/>
        </w:rPr>
        <w:footnoteReference w:id="76"/>
      </w:r>
      <w:r w:rsidRPr="00637861">
        <w:rPr>
          <w:rFonts w:ascii="Times New Roman" w:hAnsi="Times New Roman" w:cs="Times New Roman"/>
          <w:color w:val="000000" w:themeColor="text1"/>
        </w:rPr>
        <w:t xml:space="preserve"> not least </w:t>
      </w:r>
      <w:r w:rsidR="00CB5F2D">
        <w:rPr>
          <w:rFonts w:ascii="Times New Roman" w:hAnsi="Times New Roman" w:cs="Times New Roman"/>
          <w:color w:val="000000" w:themeColor="text1"/>
        </w:rPr>
        <w:t>because</w:t>
      </w:r>
      <w:r w:rsidR="00CB5F2D"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the options for redress for bondholders in the events of breach of sustainability objectives are limited, especially where specific terms are not included in the prospectus or </w:t>
      </w:r>
      <w:r w:rsidR="000770B9">
        <w:rPr>
          <w:rFonts w:ascii="Times New Roman" w:hAnsi="Times New Roman" w:cs="Times New Roman"/>
          <w:color w:val="000000" w:themeColor="text1"/>
        </w:rPr>
        <w:t xml:space="preserve">are </w:t>
      </w:r>
      <w:r w:rsidRPr="00637861">
        <w:rPr>
          <w:rFonts w:ascii="Times New Roman" w:hAnsi="Times New Roman" w:cs="Times New Roman"/>
          <w:color w:val="000000" w:themeColor="text1"/>
        </w:rPr>
        <w:t>drafted in an overly vague manner.</w:t>
      </w:r>
      <w:r w:rsidRPr="00637861">
        <w:rPr>
          <w:rStyle w:val="Odwoanieprzypisudolnego"/>
          <w:rFonts w:ascii="Times New Roman" w:hAnsi="Times New Roman" w:cs="Times New Roman"/>
          <w:color w:val="000000" w:themeColor="text1"/>
        </w:rPr>
        <w:footnoteReference w:id="77"/>
      </w:r>
      <w:r w:rsidRPr="00637861">
        <w:rPr>
          <w:rFonts w:ascii="Times New Roman" w:hAnsi="Times New Roman" w:cs="Times New Roman"/>
          <w:color w:val="000000" w:themeColor="text1"/>
        </w:rPr>
        <w:t xml:space="preserve"> The EU Green Bond regime, meanwhile, relies mostly on procedural disclosure obligations rather than substantive provisions.</w:t>
      </w:r>
      <w:r w:rsidRPr="00637861">
        <w:rPr>
          <w:rStyle w:val="Odwoanieprzypisudolnego"/>
          <w:rFonts w:ascii="Times New Roman" w:hAnsi="Times New Roman" w:cs="Times New Roman"/>
          <w:color w:val="000000" w:themeColor="text1"/>
        </w:rPr>
        <w:footnoteReference w:id="78"/>
      </w:r>
      <w:r w:rsidRPr="00637861">
        <w:rPr>
          <w:rFonts w:ascii="Times New Roman" w:hAnsi="Times New Roman" w:cs="Times New Roman"/>
          <w:color w:val="000000" w:themeColor="text1"/>
        </w:rPr>
        <w:t xml:space="preserve"> As the concerns about the credibility of sustainable finance instruments increase, several potential routes to such litigation </w:t>
      </w:r>
      <w:r w:rsidR="00446113">
        <w:rPr>
          <w:rFonts w:ascii="Times New Roman" w:hAnsi="Times New Roman" w:cs="Times New Roman"/>
          <w:color w:val="000000" w:themeColor="text1"/>
        </w:rPr>
        <w:t xml:space="preserve">by aggrieved investors especially, </w:t>
      </w:r>
      <w:r w:rsidRPr="00637861">
        <w:rPr>
          <w:rFonts w:ascii="Times New Roman" w:hAnsi="Times New Roman" w:cs="Times New Roman"/>
          <w:color w:val="000000" w:themeColor="text1"/>
        </w:rPr>
        <w:t>have been identified in jurisdiction-specific contexts, especially regarding incorrect representations and breach of covenants, linked to intentional or negligent omissions and/or incorrect or defective reporting</w:t>
      </w:r>
      <w:r w:rsidR="000770B9">
        <w:rPr>
          <w:rFonts w:ascii="Times New Roman" w:hAnsi="Times New Roman" w:cs="Times New Roman"/>
          <w:color w:val="000000" w:themeColor="text1"/>
        </w:rPr>
        <w:t>, for example</w:t>
      </w:r>
      <w:r w:rsidRPr="00637861">
        <w:rPr>
          <w:rFonts w:ascii="Times New Roman" w:hAnsi="Times New Roman" w:cs="Times New Roman"/>
          <w:color w:val="000000" w:themeColor="text1"/>
        </w:rPr>
        <w:t>.</w:t>
      </w:r>
      <w:r w:rsidRPr="00637861">
        <w:rPr>
          <w:rStyle w:val="Odwoanieprzypisudolnego"/>
          <w:rFonts w:ascii="Times New Roman" w:hAnsi="Times New Roman" w:cs="Times New Roman"/>
          <w:color w:val="000000" w:themeColor="text1"/>
        </w:rPr>
        <w:footnoteReference w:id="79"/>
      </w:r>
      <w:r w:rsidRPr="00637861">
        <w:rPr>
          <w:rFonts w:ascii="Times New Roman" w:hAnsi="Times New Roman" w:cs="Times New Roman"/>
          <w:color w:val="000000" w:themeColor="text1"/>
        </w:rPr>
        <w:t xml:space="preserve"> </w:t>
      </w:r>
      <w:r w:rsidR="009F215F" w:rsidRPr="00637861">
        <w:rPr>
          <w:rFonts w:ascii="Times New Roman" w:hAnsi="Times New Roman" w:cs="Times New Roman"/>
          <w:color w:val="000000" w:themeColor="text1"/>
        </w:rPr>
        <w:t xml:space="preserve">Nevertheless, the interviewed legal practitioners were doubtful as to whether </w:t>
      </w:r>
      <w:r w:rsidR="000770B9">
        <w:rPr>
          <w:rFonts w:ascii="Times New Roman" w:hAnsi="Times New Roman" w:cs="Times New Roman"/>
          <w:color w:val="000000" w:themeColor="text1"/>
        </w:rPr>
        <w:t xml:space="preserve">claims </w:t>
      </w:r>
      <w:r w:rsidR="009F215F" w:rsidRPr="00637861">
        <w:rPr>
          <w:rFonts w:ascii="Times New Roman" w:hAnsi="Times New Roman" w:cs="Times New Roman"/>
          <w:color w:val="000000" w:themeColor="text1"/>
        </w:rPr>
        <w:t xml:space="preserve">without an economic loss </w:t>
      </w:r>
      <w:r w:rsidR="000F1260">
        <w:rPr>
          <w:rFonts w:ascii="Times New Roman" w:hAnsi="Times New Roman" w:cs="Times New Roman"/>
          <w:color w:val="000000" w:themeColor="text1"/>
        </w:rPr>
        <w:t xml:space="preserve">for the investors </w:t>
      </w:r>
      <w:r w:rsidR="009F215F" w:rsidRPr="00637861">
        <w:rPr>
          <w:rFonts w:ascii="Times New Roman" w:hAnsi="Times New Roman" w:cs="Times New Roman"/>
          <w:color w:val="000000" w:themeColor="text1"/>
        </w:rPr>
        <w:t>stemming from falling short of the ‘green promises’ would hold up in court.</w:t>
      </w:r>
      <w:r w:rsidR="009F215F" w:rsidRPr="00637861">
        <w:rPr>
          <w:rStyle w:val="Odwoanieprzypisudolnego"/>
          <w:rFonts w:ascii="Times New Roman" w:hAnsi="Times New Roman" w:cs="Times New Roman"/>
          <w:color w:val="000000" w:themeColor="text1"/>
        </w:rPr>
        <w:footnoteReference w:id="80"/>
      </w:r>
    </w:p>
    <w:p w14:paraId="00DC2AD5" w14:textId="2C046EF8"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However, as in the case of th</w:t>
      </w:r>
      <w:r w:rsidR="00DE4E6A">
        <w:rPr>
          <w:rFonts w:ascii="Times New Roman" w:hAnsi="Times New Roman" w:cs="Times New Roman"/>
          <w:color w:val="000000" w:themeColor="text1"/>
        </w:rPr>
        <w:t>os</w:t>
      </w:r>
      <w:r w:rsidRPr="00637861">
        <w:rPr>
          <w:rFonts w:ascii="Times New Roman" w:hAnsi="Times New Roman" w:cs="Times New Roman"/>
          <w:color w:val="000000" w:themeColor="text1"/>
        </w:rPr>
        <w:t>e process</w:t>
      </w:r>
      <w:r w:rsidR="009F215F" w:rsidRPr="00637861">
        <w:rPr>
          <w:rFonts w:ascii="Times New Roman" w:hAnsi="Times New Roman" w:cs="Times New Roman"/>
          <w:color w:val="000000" w:themeColor="text1"/>
        </w:rPr>
        <w:t>es</w:t>
      </w:r>
      <w:r w:rsidRPr="00637861">
        <w:rPr>
          <w:rFonts w:ascii="Times New Roman" w:hAnsi="Times New Roman" w:cs="Times New Roman"/>
          <w:color w:val="000000" w:themeColor="text1"/>
        </w:rPr>
        <w:t xml:space="preserve"> </w:t>
      </w:r>
      <w:r w:rsidR="00DE4E6A">
        <w:rPr>
          <w:rFonts w:ascii="Times New Roman" w:hAnsi="Times New Roman" w:cs="Times New Roman"/>
          <w:color w:val="000000" w:themeColor="text1"/>
        </w:rPr>
        <w:t xml:space="preserve">which </w:t>
      </w:r>
      <w:r w:rsidR="00DE4E6A" w:rsidRPr="00637861">
        <w:rPr>
          <w:rFonts w:ascii="Times New Roman" w:hAnsi="Times New Roman" w:cs="Times New Roman"/>
          <w:color w:val="000000" w:themeColor="text1"/>
        </w:rPr>
        <w:t>prece</w:t>
      </w:r>
      <w:r w:rsidR="00DE4E6A">
        <w:rPr>
          <w:rFonts w:ascii="Times New Roman" w:hAnsi="Times New Roman" w:cs="Times New Roman"/>
          <w:color w:val="000000" w:themeColor="text1"/>
        </w:rPr>
        <w:t>de</w:t>
      </w:r>
      <w:r w:rsidR="00DE4E6A"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the issuance of debt, the weak</w:t>
      </w:r>
      <w:r w:rsidR="009F215F" w:rsidRPr="00637861">
        <w:rPr>
          <w:rFonts w:ascii="Times New Roman" w:hAnsi="Times New Roman" w:cs="Times New Roman"/>
          <w:color w:val="000000" w:themeColor="text1"/>
        </w:rPr>
        <w:t>ness of the</w:t>
      </w:r>
      <w:r w:rsidRPr="00637861">
        <w:rPr>
          <w:rFonts w:ascii="Times New Roman" w:hAnsi="Times New Roman" w:cs="Times New Roman"/>
          <w:color w:val="000000" w:themeColor="text1"/>
        </w:rPr>
        <w:t xml:space="preserve"> regulatory legal environment for enforcement draws our attention to the facilitative aspects </w:t>
      </w:r>
      <w:r w:rsidR="00DE4E6A">
        <w:rPr>
          <w:rFonts w:ascii="Times New Roman" w:hAnsi="Times New Roman" w:cs="Times New Roman"/>
          <w:color w:val="000000" w:themeColor="text1"/>
        </w:rPr>
        <w:t>of</w:t>
      </w:r>
      <w:r w:rsidRPr="00637861">
        <w:rPr>
          <w:rFonts w:ascii="Times New Roman" w:hAnsi="Times New Roman" w:cs="Times New Roman"/>
          <w:color w:val="000000" w:themeColor="text1"/>
        </w:rPr>
        <w:t xml:space="preserve"> the roles of different public and private actors and structures in monitoring and marketing green bonds</w:t>
      </w:r>
      <w:r w:rsidR="00DE4E6A">
        <w:rPr>
          <w:rFonts w:ascii="Times New Roman" w:hAnsi="Times New Roman" w:cs="Times New Roman"/>
          <w:color w:val="000000" w:themeColor="text1"/>
        </w:rPr>
        <w:t xml:space="preserve"> and</w:t>
      </w:r>
      <w:r w:rsidR="00DE4E6A"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differentiating such instruments from other, ‘unsustainable’ debt. Exploring the facilitative aspects of the legal envir</w:t>
      </w:r>
      <w:r w:rsidR="00DE4E6A">
        <w:rPr>
          <w:rFonts w:ascii="Times New Roman" w:hAnsi="Times New Roman" w:cs="Times New Roman"/>
          <w:color w:val="000000" w:themeColor="text1"/>
        </w:rPr>
        <w:t>o</w:t>
      </w:r>
      <w:r w:rsidRPr="00637861">
        <w:rPr>
          <w:rFonts w:ascii="Times New Roman" w:hAnsi="Times New Roman" w:cs="Times New Roman"/>
          <w:color w:val="000000" w:themeColor="text1"/>
        </w:rPr>
        <w:t>nment of green bonds captures two features of sustainable finance that demarcate these instruments from ‘traditional’ financing</w:t>
      </w:r>
      <w:r w:rsidR="00DE4E6A">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the role of monitoring (reporting) and marketing. </w:t>
      </w:r>
    </w:p>
    <w:p w14:paraId="08957396" w14:textId="323BFA4E"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As regards monitoring, to the extent that achieving specific sustainability objectives is the </w:t>
      </w:r>
      <w:r w:rsidRPr="00637861">
        <w:rPr>
          <w:rFonts w:ascii="Times New Roman" w:hAnsi="Times New Roman" w:cs="Times New Roman"/>
          <w:i/>
          <w:iCs/>
          <w:color w:val="000000" w:themeColor="text1"/>
        </w:rPr>
        <w:t xml:space="preserve">raison </w:t>
      </w:r>
      <w:proofErr w:type="spellStart"/>
      <w:r w:rsidRPr="00637861">
        <w:rPr>
          <w:rFonts w:ascii="Times New Roman" w:hAnsi="Times New Roman" w:cs="Times New Roman"/>
          <w:i/>
          <w:iCs/>
          <w:color w:val="000000" w:themeColor="text1"/>
        </w:rPr>
        <w:t>d’etre</w:t>
      </w:r>
      <w:proofErr w:type="spellEnd"/>
      <w:r w:rsidRPr="00637861">
        <w:rPr>
          <w:rFonts w:ascii="Times New Roman" w:hAnsi="Times New Roman" w:cs="Times New Roman"/>
          <w:i/>
          <w:iCs/>
          <w:color w:val="000000" w:themeColor="text1"/>
        </w:rPr>
        <w:t xml:space="preserve"> </w:t>
      </w:r>
      <w:r w:rsidRPr="00637861">
        <w:rPr>
          <w:rFonts w:ascii="Times New Roman" w:hAnsi="Times New Roman" w:cs="Times New Roman"/>
          <w:color w:val="000000" w:themeColor="text1"/>
        </w:rPr>
        <w:t xml:space="preserve">for sustainable debt, both ICMA and LMA standards encourage </w:t>
      </w:r>
      <w:r w:rsidR="005C4E1C">
        <w:rPr>
          <w:rFonts w:ascii="Times New Roman" w:hAnsi="Times New Roman" w:cs="Times New Roman"/>
          <w:color w:val="000000" w:themeColor="text1"/>
        </w:rPr>
        <w:lastRenderedPageBreak/>
        <w:t xml:space="preserve">regular </w:t>
      </w:r>
      <w:r w:rsidRPr="00637861">
        <w:rPr>
          <w:rFonts w:ascii="Times New Roman" w:hAnsi="Times New Roman" w:cs="Times New Roman"/>
          <w:color w:val="000000" w:themeColor="text1"/>
        </w:rPr>
        <w:t>reporting.</w:t>
      </w:r>
      <w:r w:rsidRPr="00637861">
        <w:rPr>
          <w:rStyle w:val="Odwoanieprzypisudolnego"/>
          <w:rFonts w:ascii="Times New Roman" w:hAnsi="Times New Roman" w:cs="Times New Roman"/>
          <w:color w:val="000000" w:themeColor="text1"/>
        </w:rPr>
        <w:footnoteReference w:id="81"/>
      </w:r>
      <w:r w:rsidRPr="00637861">
        <w:rPr>
          <w:rFonts w:ascii="Times New Roman" w:hAnsi="Times New Roman" w:cs="Times New Roman"/>
          <w:color w:val="000000" w:themeColor="text1"/>
        </w:rPr>
        <w:t xml:space="preserve"> The EU Green Bond regime, while being more prescriptive regarding the pre- and post-issuance disclosures, likewise relies on the disclosure of the relevant information, in line with </w:t>
      </w:r>
      <w:r w:rsidR="00DE4E6A">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broader EU approach to regulating corporate governance in this way.</w:t>
      </w:r>
      <w:r w:rsidRPr="00637861">
        <w:rPr>
          <w:rStyle w:val="Odwoanieprzypisudolnego"/>
          <w:rFonts w:ascii="Times New Roman" w:hAnsi="Times New Roman" w:cs="Times New Roman"/>
          <w:color w:val="000000" w:themeColor="text1"/>
        </w:rPr>
        <w:footnoteReference w:id="82"/>
      </w:r>
      <w:r w:rsidRPr="00637861">
        <w:rPr>
          <w:rFonts w:ascii="Times New Roman" w:hAnsi="Times New Roman" w:cs="Times New Roman"/>
          <w:color w:val="000000" w:themeColor="text1"/>
        </w:rPr>
        <w:t xml:space="preserve"> Such impact and allocation reports for bonds are another key differentiating feature of green debt going beyond the standard process of ‘the ongoing acquisition, processing, interpretation, and verification of information about the firm’ known in the context of debt governance.</w:t>
      </w:r>
      <w:r w:rsidRPr="00637861">
        <w:rPr>
          <w:rStyle w:val="Odwoanieprzypisudolnego"/>
          <w:rFonts w:ascii="Times New Roman" w:hAnsi="Times New Roman" w:cs="Times New Roman"/>
          <w:color w:val="000000" w:themeColor="text1"/>
        </w:rPr>
        <w:footnoteReference w:id="83"/>
      </w:r>
      <w:r w:rsidRPr="00637861">
        <w:rPr>
          <w:rFonts w:ascii="Times New Roman" w:hAnsi="Times New Roman" w:cs="Times New Roman"/>
          <w:color w:val="000000" w:themeColor="text1"/>
        </w:rPr>
        <w:t xml:space="preserve"> Sustainable finance</w:t>
      </w:r>
      <w:r w:rsidR="004E6093">
        <w:rPr>
          <w:rFonts w:ascii="Times New Roman" w:hAnsi="Times New Roman" w:cs="Times New Roman"/>
          <w:color w:val="000000" w:themeColor="text1"/>
        </w:rPr>
        <w:t>, therefore,</w:t>
      </w:r>
      <w:r w:rsidRPr="00637861">
        <w:rPr>
          <w:rFonts w:ascii="Times New Roman" w:hAnsi="Times New Roman" w:cs="Times New Roman"/>
          <w:color w:val="000000" w:themeColor="text1"/>
        </w:rPr>
        <w:t xml:space="preserve"> involves greater transparency about the terms of issue and performance through the scope of post-issuance disclosures and the publication of SPOs</w:t>
      </w:r>
      <w:r w:rsidR="00DE4E6A">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which allow not just investors but </w:t>
      </w:r>
      <w:r w:rsidR="00DE4E6A">
        <w:rPr>
          <w:rFonts w:ascii="Times New Roman" w:hAnsi="Times New Roman" w:cs="Times New Roman"/>
          <w:color w:val="000000" w:themeColor="text1"/>
        </w:rPr>
        <w:t>also</w:t>
      </w:r>
      <w:r w:rsidRPr="00637861">
        <w:rPr>
          <w:rFonts w:ascii="Times New Roman" w:hAnsi="Times New Roman" w:cs="Times New Roman"/>
          <w:color w:val="000000" w:themeColor="text1"/>
        </w:rPr>
        <w:t xml:space="preserve"> interested stakeholders to better monitor the companies’ commitments. Some issuers further follow best practices by seeking and disclosing auditor reports (assurance) on </w:t>
      </w:r>
      <w:r w:rsidR="00DE4E6A">
        <w:rPr>
          <w:rFonts w:ascii="Times New Roman" w:hAnsi="Times New Roman" w:cs="Times New Roman"/>
          <w:color w:val="000000" w:themeColor="text1"/>
        </w:rPr>
        <w:t xml:space="preserve">the </w:t>
      </w:r>
      <w:r w:rsidR="00DE4E6A" w:rsidRPr="00637861">
        <w:rPr>
          <w:rFonts w:ascii="Times New Roman" w:hAnsi="Times New Roman" w:cs="Times New Roman"/>
          <w:color w:val="000000" w:themeColor="text1"/>
        </w:rPr>
        <w:t xml:space="preserve">allocation </w:t>
      </w:r>
      <w:r w:rsidR="00DE4E6A">
        <w:rPr>
          <w:rFonts w:ascii="Times New Roman" w:hAnsi="Times New Roman" w:cs="Times New Roman"/>
          <w:color w:val="000000" w:themeColor="text1"/>
        </w:rPr>
        <w:t xml:space="preserve">of </w:t>
      </w:r>
      <w:r w:rsidRPr="00637861">
        <w:rPr>
          <w:rFonts w:ascii="Times New Roman" w:hAnsi="Times New Roman" w:cs="Times New Roman"/>
          <w:color w:val="000000" w:themeColor="text1"/>
        </w:rPr>
        <w:t xml:space="preserve">their green bond proceeds. While the credibility of such documents may still raise valid concerns (e.g. due to conflicts of interest), the fact that some issuers opt for this option, while others do not, is an important dimension </w:t>
      </w:r>
      <w:r w:rsidR="00DE4E6A">
        <w:rPr>
          <w:rFonts w:ascii="Times New Roman" w:hAnsi="Times New Roman" w:cs="Times New Roman"/>
          <w:color w:val="000000" w:themeColor="text1"/>
        </w:rPr>
        <w:t xml:space="preserve">that </w:t>
      </w:r>
      <w:r w:rsidR="009F215F" w:rsidRPr="00637861">
        <w:rPr>
          <w:rFonts w:ascii="Times New Roman" w:hAnsi="Times New Roman" w:cs="Times New Roman"/>
          <w:color w:val="000000" w:themeColor="text1"/>
        </w:rPr>
        <w:t>further</w:t>
      </w:r>
      <w:r w:rsidRPr="00637861">
        <w:rPr>
          <w:rFonts w:ascii="Times New Roman" w:hAnsi="Times New Roman" w:cs="Times New Roman"/>
          <w:color w:val="000000" w:themeColor="text1"/>
        </w:rPr>
        <w:t xml:space="preserve"> </w:t>
      </w:r>
      <w:r w:rsidR="00DE4E6A" w:rsidRPr="00637861">
        <w:rPr>
          <w:rFonts w:ascii="Times New Roman" w:hAnsi="Times New Roman" w:cs="Times New Roman"/>
          <w:color w:val="000000" w:themeColor="text1"/>
        </w:rPr>
        <w:t>differentiat</w:t>
      </w:r>
      <w:r w:rsidR="00DE4E6A">
        <w:rPr>
          <w:rFonts w:ascii="Times New Roman" w:hAnsi="Times New Roman" w:cs="Times New Roman"/>
          <w:color w:val="000000" w:themeColor="text1"/>
        </w:rPr>
        <w:t>es</w:t>
      </w:r>
      <w:r w:rsidR="00DE4E6A"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sustainable debt instruments. </w:t>
      </w:r>
    </w:p>
    <w:p w14:paraId="33F91483" w14:textId="086CC6C5"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In addition to such new forms of reporting, sustainable debt is subject to differentiated marketing practices on secondary markets that effectively create another layer of dedicated sustainability</w:t>
      </w:r>
      <w:r w:rsidR="00C633CF">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monitoring. First</w:t>
      </w:r>
      <w:r w:rsidR="00C633CF">
        <w:rPr>
          <w:rFonts w:ascii="Times New Roman" w:hAnsi="Times New Roman" w:cs="Times New Roman"/>
          <w:color w:val="000000" w:themeColor="text1"/>
        </w:rPr>
        <w:t>ly</w:t>
      </w:r>
      <w:r w:rsidRPr="00637861">
        <w:rPr>
          <w:rFonts w:ascii="Times New Roman" w:hAnsi="Times New Roman" w:cs="Times New Roman"/>
          <w:color w:val="000000" w:themeColor="text1"/>
        </w:rPr>
        <w:t>, green and sustainability bonds might be placed on special ‘green’ market segment</w:t>
      </w:r>
      <w:r w:rsidR="00C633CF">
        <w:rPr>
          <w:rFonts w:ascii="Times New Roman" w:hAnsi="Times New Roman" w:cs="Times New Roman"/>
          <w:color w:val="000000" w:themeColor="text1"/>
        </w:rPr>
        <w:t>s</w:t>
      </w:r>
      <w:r w:rsidRPr="00637861">
        <w:rPr>
          <w:rFonts w:ascii="Times New Roman" w:hAnsi="Times New Roman" w:cs="Times New Roman"/>
          <w:color w:val="000000" w:themeColor="text1"/>
        </w:rPr>
        <w:t xml:space="preserve"> on exchanges. Most large stock exchanges in the EU now have dedicated sustainable-bond market segments. The inclusion in such a segment may be made conditional on additional, explicit procedures to verify </w:t>
      </w:r>
      <w:r w:rsidR="00C633CF">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greenness of issuances. Several issuers explicitly refer </w:t>
      </w:r>
      <w:r w:rsidR="00C633CF" w:rsidRPr="00637861">
        <w:rPr>
          <w:rFonts w:ascii="Times New Roman" w:hAnsi="Times New Roman" w:cs="Times New Roman"/>
          <w:color w:val="000000" w:themeColor="text1"/>
        </w:rPr>
        <w:t>in the</w:t>
      </w:r>
      <w:r w:rsidR="00AE7DE9">
        <w:rPr>
          <w:rFonts w:ascii="Times New Roman" w:hAnsi="Times New Roman" w:cs="Times New Roman"/>
          <w:color w:val="000000" w:themeColor="text1"/>
        </w:rPr>
        <w:t>ir</w:t>
      </w:r>
      <w:r w:rsidR="00C633CF" w:rsidRPr="00637861">
        <w:rPr>
          <w:rFonts w:ascii="Times New Roman" w:hAnsi="Times New Roman" w:cs="Times New Roman"/>
          <w:color w:val="000000" w:themeColor="text1"/>
        </w:rPr>
        <w:t xml:space="preserve"> bond prospectuses </w:t>
      </w:r>
      <w:r w:rsidRPr="00637861">
        <w:rPr>
          <w:rFonts w:ascii="Times New Roman" w:hAnsi="Times New Roman" w:cs="Times New Roman"/>
          <w:color w:val="000000" w:themeColor="text1"/>
        </w:rPr>
        <w:t xml:space="preserve">to the intention to place the bond on such exchanges. The entry rules – and therefore the facilitative environment of such issuances – differ across markets. </w:t>
      </w:r>
      <w:r w:rsidR="00C633CF">
        <w:rPr>
          <w:rFonts w:ascii="Times New Roman" w:hAnsi="Times New Roman" w:cs="Times New Roman"/>
          <w:color w:val="000000" w:themeColor="text1"/>
        </w:rPr>
        <w:t>Of</w:t>
      </w:r>
      <w:r w:rsidR="00C633CF"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the four analysed jurisdictions, two exchanges have no explicit additional entry rules. In Sweden, the Nasdaq sustainable debt segment requires </w:t>
      </w:r>
      <w:r w:rsidR="00CB5F2D">
        <w:rPr>
          <w:rFonts w:ascii="Times New Roman" w:hAnsi="Times New Roman" w:cs="Times New Roman"/>
          <w:color w:val="000000" w:themeColor="text1"/>
        </w:rPr>
        <w:t>that</w:t>
      </w:r>
      <w:r w:rsidRPr="00637861">
        <w:rPr>
          <w:rFonts w:ascii="Times New Roman" w:hAnsi="Times New Roman" w:cs="Times New Roman"/>
          <w:color w:val="000000" w:themeColor="text1"/>
        </w:rPr>
        <w:t xml:space="preserve"> green documentation </w:t>
      </w:r>
      <w:r w:rsidR="00CB5F2D">
        <w:rPr>
          <w:rFonts w:ascii="Times New Roman" w:hAnsi="Times New Roman" w:cs="Times New Roman"/>
          <w:color w:val="000000" w:themeColor="text1"/>
        </w:rPr>
        <w:t xml:space="preserve">be submitted </w:t>
      </w:r>
      <w:r w:rsidRPr="00637861">
        <w:rPr>
          <w:rFonts w:ascii="Times New Roman" w:hAnsi="Times New Roman" w:cs="Times New Roman"/>
          <w:color w:val="000000" w:themeColor="text1"/>
        </w:rPr>
        <w:t xml:space="preserve">as part of </w:t>
      </w:r>
      <w:r w:rsidR="00C633CF">
        <w:rPr>
          <w:rFonts w:ascii="Times New Roman" w:hAnsi="Times New Roman" w:cs="Times New Roman"/>
          <w:color w:val="000000" w:themeColor="text1"/>
        </w:rPr>
        <w:t xml:space="preserve">a </w:t>
      </w:r>
      <w:r w:rsidRPr="00637861">
        <w:rPr>
          <w:rFonts w:ascii="Times New Roman" w:hAnsi="Times New Roman" w:cs="Times New Roman"/>
          <w:color w:val="000000" w:themeColor="text1"/>
        </w:rPr>
        <w:t>listing</w:t>
      </w:r>
      <w:r w:rsidR="00C633CF">
        <w:rPr>
          <w:rFonts w:ascii="Times New Roman" w:hAnsi="Times New Roman" w:cs="Times New Roman"/>
          <w:color w:val="000000" w:themeColor="text1"/>
        </w:rPr>
        <w:t>’s</w:t>
      </w:r>
      <w:r w:rsidRPr="00637861">
        <w:rPr>
          <w:rFonts w:ascii="Times New Roman" w:hAnsi="Times New Roman" w:cs="Times New Roman"/>
          <w:color w:val="000000" w:themeColor="text1"/>
        </w:rPr>
        <w:t xml:space="preserve"> approval.</w:t>
      </w:r>
      <w:r w:rsidRPr="00637861">
        <w:rPr>
          <w:rStyle w:val="Odwoanieprzypisudolnego"/>
          <w:rFonts w:ascii="Times New Roman" w:hAnsi="Times New Roman" w:cs="Times New Roman"/>
          <w:color w:val="000000" w:themeColor="text1"/>
        </w:rPr>
        <w:footnoteReference w:id="84"/>
      </w:r>
      <w:r w:rsidRPr="00637861">
        <w:rPr>
          <w:rFonts w:ascii="Times New Roman" w:hAnsi="Times New Roman" w:cs="Times New Roman"/>
          <w:color w:val="000000" w:themeColor="text1"/>
        </w:rPr>
        <w:t xml:space="preserve"> In Poland, issuers </w:t>
      </w:r>
      <w:r w:rsidR="00CB5F2D">
        <w:rPr>
          <w:rFonts w:ascii="Times New Roman" w:hAnsi="Times New Roman" w:cs="Times New Roman"/>
          <w:color w:val="000000" w:themeColor="text1"/>
        </w:rPr>
        <w:t>who</w:t>
      </w:r>
      <w:r w:rsidR="00CB5F2D"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wish to include their green bonds on the dedicated Catalyst secondary market </w:t>
      </w:r>
      <w:r w:rsidRPr="00637861">
        <w:rPr>
          <w:rFonts w:ascii="Times New Roman" w:hAnsi="Times New Roman" w:cs="Times New Roman"/>
          <w:color w:val="000000" w:themeColor="text1"/>
        </w:rPr>
        <w:lastRenderedPageBreak/>
        <w:t xml:space="preserve">segment are required to sign and disclose an additional document confirming their sustainability commitments at </w:t>
      </w:r>
      <w:r w:rsidR="00C633CF">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entity</w:t>
      </w:r>
      <w:r w:rsidR="00C633CF">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level. A variant of this secondary market practice is the inclusion or exclusion of a given debt instrument in an ESG index. Benchmark composition methodology may distinguish such debt from non-sustainable finance</w:t>
      </w:r>
      <w:r w:rsidRPr="00637861">
        <w:rPr>
          <w:rStyle w:val="Odwoanieprzypisudolnego"/>
          <w:rFonts w:ascii="Times New Roman" w:hAnsi="Times New Roman" w:cs="Times New Roman"/>
          <w:color w:val="000000" w:themeColor="text1"/>
        </w:rPr>
        <w:footnoteReference w:id="85"/>
      </w:r>
      <w:r w:rsidRPr="00637861">
        <w:rPr>
          <w:rFonts w:ascii="Times New Roman" w:hAnsi="Times New Roman" w:cs="Times New Roman"/>
          <w:color w:val="000000" w:themeColor="text1"/>
        </w:rPr>
        <w:t xml:space="preserve"> as well </w:t>
      </w:r>
      <w:r w:rsidR="00C633CF">
        <w:rPr>
          <w:rFonts w:ascii="Times New Roman" w:hAnsi="Times New Roman" w:cs="Times New Roman"/>
          <w:color w:val="000000" w:themeColor="text1"/>
        </w:rPr>
        <w:t xml:space="preserve">as </w:t>
      </w:r>
      <w:r w:rsidRPr="00637861">
        <w:rPr>
          <w:rFonts w:ascii="Times New Roman" w:hAnsi="Times New Roman" w:cs="Times New Roman"/>
          <w:i/>
          <w:iCs/>
          <w:color w:val="000000" w:themeColor="text1"/>
        </w:rPr>
        <w:t>among</w:t>
      </w:r>
      <w:r w:rsidRPr="00637861">
        <w:rPr>
          <w:rFonts w:ascii="Times New Roman" w:hAnsi="Times New Roman" w:cs="Times New Roman"/>
          <w:color w:val="000000" w:themeColor="text1"/>
        </w:rPr>
        <w:t xml:space="preserve"> green debt</w:t>
      </w:r>
      <w:r w:rsidR="00C633CF">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where regulatory standards differentiate different ‘shades’ of sustainability.</w:t>
      </w:r>
      <w:r w:rsidRPr="00637861">
        <w:rPr>
          <w:rStyle w:val="Odwoanieprzypisudolnego"/>
          <w:rFonts w:ascii="Times New Roman" w:hAnsi="Times New Roman" w:cs="Times New Roman"/>
          <w:color w:val="000000" w:themeColor="text1"/>
        </w:rPr>
        <w:footnoteReference w:id="86"/>
      </w:r>
      <w:r w:rsidRPr="00637861">
        <w:rPr>
          <w:rFonts w:ascii="Times New Roman" w:hAnsi="Times New Roman" w:cs="Times New Roman"/>
          <w:color w:val="000000" w:themeColor="text1"/>
        </w:rPr>
        <w:t xml:space="preserve"> Effectively</w:t>
      </w:r>
      <w:r w:rsidR="00C633CF">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such market mechanisms reinforce the differentiation of sustainable finance products from ‘traditional’ products, encasing </w:t>
      </w:r>
      <w:r w:rsidR="00C633CF" w:rsidRPr="00637861">
        <w:rPr>
          <w:rFonts w:ascii="Times New Roman" w:hAnsi="Times New Roman" w:cs="Times New Roman"/>
          <w:color w:val="000000" w:themeColor="text1"/>
        </w:rPr>
        <w:t xml:space="preserve">the sustainability commitments of firms </w:t>
      </w:r>
      <w:r w:rsidR="00C633CF">
        <w:rPr>
          <w:rFonts w:ascii="Times New Roman" w:hAnsi="Times New Roman" w:cs="Times New Roman"/>
          <w:color w:val="000000" w:themeColor="text1"/>
        </w:rPr>
        <w:t>(</w:t>
      </w:r>
      <w:r w:rsidRPr="00637861">
        <w:rPr>
          <w:rFonts w:ascii="Times New Roman" w:hAnsi="Times New Roman" w:cs="Times New Roman"/>
          <w:color w:val="000000" w:themeColor="text1"/>
        </w:rPr>
        <w:t>through secondary market rules and practices</w:t>
      </w:r>
      <w:r w:rsidR="00C633CF">
        <w:rPr>
          <w:rFonts w:ascii="Times New Roman" w:hAnsi="Times New Roman" w:cs="Times New Roman"/>
          <w:color w:val="000000" w:themeColor="text1"/>
        </w:rPr>
        <w:t>)</w:t>
      </w:r>
      <w:r w:rsidR="00C633CF"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and shaping their motivations for seeking sustainable debt. </w:t>
      </w:r>
    </w:p>
    <w:p w14:paraId="108D1EDD" w14:textId="6EF2C642"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Second</w:t>
      </w:r>
      <w:r w:rsidR="00C633CF">
        <w:rPr>
          <w:rFonts w:ascii="Times New Roman" w:hAnsi="Times New Roman" w:cs="Times New Roman"/>
          <w:color w:val="000000" w:themeColor="text1"/>
        </w:rPr>
        <w:t>ly</w:t>
      </w:r>
      <w:r w:rsidRPr="00637861">
        <w:rPr>
          <w:rFonts w:ascii="Times New Roman" w:hAnsi="Times New Roman" w:cs="Times New Roman"/>
          <w:color w:val="000000" w:themeColor="text1"/>
        </w:rPr>
        <w:t xml:space="preserve">, financial data providers have begun to include information related to </w:t>
      </w:r>
      <w:r w:rsidR="00C633CF">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sustainability</w:t>
      </w:r>
      <w:r w:rsidR="00C633CF">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performance of the borrower</w:t>
      </w:r>
      <w:r w:rsidR="00C633CF">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together with impact information</w:t>
      </w:r>
      <w:r w:rsidR="00C633CF">
        <w:rPr>
          <w:rFonts w:ascii="Times New Roman" w:hAnsi="Times New Roman" w:cs="Times New Roman"/>
          <w:color w:val="000000" w:themeColor="text1"/>
        </w:rPr>
        <w:t xml:space="preserve"> </w:t>
      </w:r>
      <w:r w:rsidR="00C633CF" w:rsidRPr="00637861">
        <w:rPr>
          <w:rFonts w:ascii="Times New Roman" w:hAnsi="Times New Roman" w:cs="Times New Roman"/>
          <w:color w:val="000000" w:themeColor="text1"/>
        </w:rPr>
        <w:t>(in some cases)</w:t>
      </w:r>
      <w:r w:rsidR="00E2557F">
        <w:rPr>
          <w:rFonts w:ascii="Times New Roman" w:hAnsi="Times New Roman" w:cs="Times New Roman"/>
          <w:color w:val="000000" w:themeColor="text1"/>
        </w:rPr>
        <w:t xml:space="preserve">, in </w:t>
      </w:r>
      <w:r w:rsidR="00C207BF">
        <w:rPr>
          <w:rFonts w:ascii="Times New Roman" w:hAnsi="Times New Roman" w:cs="Times New Roman"/>
          <w:color w:val="000000" w:themeColor="text1"/>
        </w:rPr>
        <w:t>the offered data products</w:t>
      </w:r>
      <w:r w:rsidR="000816DE">
        <w:rPr>
          <w:rFonts w:ascii="Times New Roman" w:hAnsi="Times New Roman" w:cs="Times New Roman"/>
          <w:color w:val="000000" w:themeColor="text1"/>
        </w:rPr>
        <w:t xml:space="preserve"> relating to specific financial instruments</w:t>
      </w:r>
      <w:r w:rsidRPr="00637861">
        <w:rPr>
          <w:rFonts w:ascii="Times New Roman" w:hAnsi="Times New Roman" w:cs="Times New Roman"/>
          <w:color w:val="000000" w:themeColor="text1"/>
        </w:rPr>
        <w:t xml:space="preserve">. </w:t>
      </w:r>
      <w:r w:rsidR="00C207BF">
        <w:rPr>
          <w:rFonts w:ascii="Times New Roman" w:hAnsi="Times New Roman" w:cs="Times New Roman"/>
          <w:color w:val="000000" w:themeColor="text1"/>
        </w:rPr>
        <w:t>I</w:t>
      </w:r>
      <w:r w:rsidRPr="00637861">
        <w:rPr>
          <w:rFonts w:ascii="Times New Roman" w:hAnsi="Times New Roman" w:cs="Times New Roman"/>
          <w:color w:val="000000" w:themeColor="text1"/>
        </w:rPr>
        <w:t>nformation include</w:t>
      </w:r>
      <w:r w:rsidR="00C207BF">
        <w:rPr>
          <w:rFonts w:ascii="Times New Roman" w:hAnsi="Times New Roman" w:cs="Times New Roman"/>
          <w:color w:val="000000" w:themeColor="text1"/>
        </w:rPr>
        <w:t>d span</w:t>
      </w:r>
      <w:r w:rsidRPr="00637861">
        <w:rPr>
          <w:rFonts w:ascii="Times New Roman" w:hAnsi="Times New Roman" w:cs="Times New Roman"/>
          <w:color w:val="000000" w:themeColor="text1"/>
        </w:rPr>
        <w:t xml:space="preserve">s ESG ratings or scores (e.g. by MSCI, Bloomberg </w:t>
      </w:r>
      <w:r w:rsidR="00C633CF" w:rsidRPr="00637861">
        <w:rPr>
          <w:rFonts w:ascii="Times New Roman" w:hAnsi="Times New Roman" w:cs="Times New Roman"/>
          <w:color w:val="000000" w:themeColor="text1"/>
        </w:rPr>
        <w:t>o</w:t>
      </w:r>
      <w:r w:rsidR="00C633CF">
        <w:rPr>
          <w:rFonts w:ascii="Times New Roman" w:hAnsi="Times New Roman" w:cs="Times New Roman"/>
          <w:color w:val="000000" w:themeColor="text1"/>
        </w:rPr>
        <w:t>r</w:t>
      </w:r>
      <w:r w:rsidR="00C633CF" w:rsidRPr="00637861">
        <w:rPr>
          <w:rFonts w:ascii="Times New Roman" w:hAnsi="Times New Roman" w:cs="Times New Roman"/>
          <w:color w:val="000000" w:themeColor="text1"/>
        </w:rPr>
        <w:t xml:space="preserve"> </w:t>
      </w:r>
      <w:proofErr w:type="spellStart"/>
      <w:r w:rsidRPr="00637861">
        <w:rPr>
          <w:rFonts w:ascii="Times New Roman" w:hAnsi="Times New Roman" w:cs="Times New Roman"/>
          <w:color w:val="000000" w:themeColor="text1"/>
        </w:rPr>
        <w:t>Sustainalytics</w:t>
      </w:r>
      <w:proofErr w:type="spellEnd"/>
      <w:r w:rsidRPr="00637861">
        <w:rPr>
          <w:rFonts w:ascii="Times New Roman" w:hAnsi="Times New Roman" w:cs="Times New Roman"/>
          <w:color w:val="000000" w:themeColor="text1"/>
        </w:rPr>
        <w:t xml:space="preserve">) which summarise the firms’ profile, usually </w:t>
      </w:r>
      <w:r w:rsidR="000816DE" w:rsidRPr="00637861">
        <w:rPr>
          <w:rFonts w:ascii="Times New Roman" w:hAnsi="Times New Roman" w:cs="Times New Roman"/>
          <w:color w:val="000000" w:themeColor="text1"/>
        </w:rPr>
        <w:t>based on</w:t>
      </w:r>
      <w:r w:rsidRPr="00637861">
        <w:rPr>
          <w:rFonts w:ascii="Times New Roman" w:hAnsi="Times New Roman" w:cs="Times New Roman"/>
          <w:color w:val="000000" w:themeColor="text1"/>
        </w:rPr>
        <w:t xml:space="preserve"> disclosures.</w:t>
      </w:r>
      <w:r w:rsidRPr="00637861">
        <w:rPr>
          <w:rStyle w:val="Odwoanieprzypisudolnego"/>
          <w:rFonts w:ascii="Times New Roman" w:hAnsi="Times New Roman" w:cs="Times New Roman"/>
          <w:color w:val="000000" w:themeColor="text1"/>
        </w:rPr>
        <w:footnoteReference w:id="87"/>
      </w:r>
      <w:r w:rsidRPr="00637861">
        <w:rPr>
          <w:rFonts w:ascii="Times New Roman" w:hAnsi="Times New Roman" w:cs="Times New Roman"/>
          <w:color w:val="000000" w:themeColor="text1"/>
        </w:rPr>
        <w:t xml:space="preserve"> In addition, investors in the green debt product are provided with </w:t>
      </w:r>
      <w:r w:rsidR="00577ABD">
        <w:rPr>
          <w:rFonts w:ascii="Times New Roman" w:hAnsi="Times New Roman" w:cs="Times New Roman"/>
          <w:color w:val="000000" w:themeColor="text1"/>
        </w:rPr>
        <w:t>brief summaries of</w:t>
      </w:r>
      <w:r w:rsidR="000816DE">
        <w:rPr>
          <w:rFonts w:ascii="Times New Roman" w:hAnsi="Times New Roman" w:cs="Times New Roman"/>
          <w:color w:val="000000" w:themeColor="text1"/>
        </w:rPr>
        <w:t xml:space="preserve"> </w:t>
      </w:r>
      <w:r w:rsidR="00577ABD">
        <w:rPr>
          <w:rFonts w:ascii="Times New Roman" w:hAnsi="Times New Roman" w:cs="Times New Roman"/>
          <w:color w:val="000000" w:themeColor="text1"/>
        </w:rPr>
        <w:t>the</w:t>
      </w:r>
      <w:r w:rsidRPr="00637861">
        <w:rPr>
          <w:rFonts w:ascii="Times New Roman" w:hAnsi="Times New Roman" w:cs="Times New Roman"/>
          <w:color w:val="000000" w:themeColor="text1"/>
        </w:rPr>
        <w:t xml:space="preserve"> overall ESG strategy of the firm (e.g. ‘net zero’/biodiversity strategy, gender inclusion policies</w:t>
      </w:r>
      <w:r w:rsidR="00C633CF">
        <w:rPr>
          <w:rFonts w:ascii="Times New Roman" w:hAnsi="Times New Roman" w:cs="Times New Roman"/>
          <w:color w:val="000000" w:themeColor="text1"/>
        </w:rPr>
        <w:t xml:space="preserve"> or</w:t>
      </w:r>
      <w:r w:rsidR="00C633CF"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business ethics). Although the extent to which investors may be guided by such information in their financial decisions</w:t>
      </w:r>
      <w:r w:rsidR="00C633CF" w:rsidRPr="00C633CF">
        <w:rPr>
          <w:rFonts w:ascii="Times New Roman" w:hAnsi="Times New Roman" w:cs="Times New Roman"/>
          <w:color w:val="000000" w:themeColor="text1"/>
        </w:rPr>
        <w:t xml:space="preserve"> </w:t>
      </w:r>
      <w:r w:rsidR="00C633CF">
        <w:rPr>
          <w:rFonts w:ascii="Times New Roman" w:hAnsi="Times New Roman" w:cs="Times New Roman"/>
          <w:color w:val="000000" w:themeColor="text1"/>
        </w:rPr>
        <w:t>can</w:t>
      </w:r>
      <w:r w:rsidR="00C633CF" w:rsidRPr="00637861">
        <w:rPr>
          <w:rFonts w:ascii="Times New Roman" w:hAnsi="Times New Roman" w:cs="Times New Roman"/>
          <w:color w:val="000000" w:themeColor="text1"/>
        </w:rPr>
        <w:t xml:space="preserve">not </w:t>
      </w:r>
      <w:r w:rsidR="00C633CF">
        <w:rPr>
          <w:rFonts w:ascii="Times New Roman" w:hAnsi="Times New Roman" w:cs="Times New Roman"/>
          <w:color w:val="000000" w:themeColor="text1"/>
        </w:rPr>
        <w:t xml:space="preserve">be </w:t>
      </w:r>
      <w:r w:rsidR="00C633CF" w:rsidRPr="00637861">
        <w:rPr>
          <w:rFonts w:ascii="Times New Roman" w:hAnsi="Times New Roman" w:cs="Times New Roman"/>
          <w:color w:val="000000" w:themeColor="text1"/>
        </w:rPr>
        <w:t>determine</w:t>
      </w:r>
      <w:r w:rsidR="00C633CF">
        <w:rPr>
          <w:rFonts w:ascii="Times New Roman" w:hAnsi="Times New Roman" w:cs="Times New Roman"/>
          <w:color w:val="000000" w:themeColor="text1"/>
        </w:rPr>
        <w:t>d by</w:t>
      </w:r>
      <w:r w:rsidR="00C633CF" w:rsidRPr="00637861">
        <w:rPr>
          <w:rFonts w:ascii="Times New Roman" w:hAnsi="Times New Roman" w:cs="Times New Roman"/>
          <w:color w:val="000000" w:themeColor="text1"/>
        </w:rPr>
        <w:t xml:space="preserve"> such features and services</w:t>
      </w:r>
      <w:r w:rsidRPr="00637861">
        <w:rPr>
          <w:rFonts w:ascii="Times New Roman" w:hAnsi="Times New Roman" w:cs="Times New Roman"/>
          <w:color w:val="000000" w:themeColor="text1"/>
        </w:rPr>
        <w:t xml:space="preserve">, it is doubtful that commercial data providers would develop </w:t>
      </w:r>
      <w:r w:rsidR="00C633CF">
        <w:rPr>
          <w:rFonts w:ascii="Times New Roman" w:hAnsi="Times New Roman" w:cs="Times New Roman"/>
          <w:color w:val="000000" w:themeColor="text1"/>
        </w:rPr>
        <w:t xml:space="preserve">them </w:t>
      </w:r>
      <w:r w:rsidRPr="00637861">
        <w:rPr>
          <w:rFonts w:ascii="Times New Roman" w:hAnsi="Times New Roman" w:cs="Times New Roman"/>
          <w:color w:val="000000" w:themeColor="text1"/>
        </w:rPr>
        <w:t>in the absence of any demand. Furthermore, such information impacts the firm through reputational channels</w:t>
      </w:r>
      <w:r w:rsidR="00C633CF">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and may subsequently trigger controversies or litigation.</w:t>
      </w:r>
      <w:r w:rsidRPr="00637861">
        <w:rPr>
          <w:rStyle w:val="Odwoanieprzypisudolnego"/>
          <w:rFonts w:ascii="Times New Roman" w:hAnsi="Times New Roman" w:cs="Times New Roman"/>
          <w:color w:val="000000" w:themeColor="text1"/>
        </w:rPr>
        <w:footnoteReference w:id="88"/>
      </w:r>
      <w:r w:rsidRPr="00637861">
        <w:rPr>
          <w:rFonts w:ascii="Times New Roman" w:hAnsi="Times New Roman" w:cs="Times New Roman"/>
          <w:color w:val="000000" w:themeColor="text1"/>
        </w:rPr>
        <w:t xml:space="preserve"> </w:t>
      </w:r>
    </w:p>
    <w:p w14:paraId="5701555F" w14:textId="5D94DB7F" w:rsidR="008B50D1" w:rsidRPr="00637861" w:rsidRDefault="008B50D1" w:rsidP="002B11C2">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lastRenderedPageBreak/>
        <w:t xml:space="preserve">These external governance aspects are particularly important for bond financing, given the limited rights of bondholders (i.e. </w:t>
      </w:r>
      <w:r w:rsidR="005F577B">
        <w:rPr>
          <w:rFonts w:ascii="Times New Roman" w:hAnsi="Times New Roman" w:cs="Times New Roman"/>
          <w:color w:val="000000" w:themeColor="text1"/>
        </w:rPr>
        <w:t>who have no</w:t>
      </w:r>
      <w:r w:rsidR="005F577B"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voting rights</w:t>
      </w:r>
      <w:r w:rsidR="00630528">
        <w:rPr>
          <w:rFonts w:ascii="Times New Roman" w:hAnsi="Times New Roman" w:cs="Times New Roman"/>
          <w:color w:val="000000" w:themeColor="text1"/>
        </w:rPr>
        <w:t xml:space="preserve"> as opposed to shareholders</w:t>
      </w:r>
      <w:r w:rsidRPr="00637861">
        <w:rPr>
          <w:rFonts w:ascii="Times New Roman" w:hAnsi="Times New Roman" w:cs="Times New Roman"/>
          <w:color w:val="000000" w:themeColor="text1"/>
        </w:rPr>
        <w:t>)</w:t>
      </w:r>
      <w:r w:rsidR="009F215F" w:rsidRPr="00637861">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w:t>
      </w:r>
      <w:r w:rsidR="009F215F" w:rsidRPr="00637861">
        <w:rPr>
          <w:rFonts w:ascii="Times New Roman" w:hAnsi="Times New Roman" w:cs="Times New Roman"/>
          <w:color w:val="000000" w:themeColor="text1"/>
        </w:rPr>
        <w:t xml:space="preserve">and </w:t>
      </w:r>
      <w:r w:rsidRPr="00637861">
        <w:rPr>
          <w:rFonts w:ascii="Times New Roman" w:hAnsi="Times New Roman" w:cs="Times New Roman"/>
          <w:color w:val="000000" w:themeColor="text1"/>
        </w:rPr>
        <w:t>they effectively become a key part of the facilitative environment of sustainable finance.</w:t>
      </w:r>
      <w:r w:rsidRPr="00637861">
        <w:rPr>
          <w:rStyle w:val="Odwoanieprzypisudolnego"/>
          <w:rFonts w:ascii="Times New Roman" w:hAnsi="Times New Roman" w:cs="Times New Roman"/>
          <w:color w:val="000000" w:themeColor="text1"/>
        </w:rPr>
        <w:footnoteReference w:id="89"/>
      </w:r>
      <w:r w:rsidRPr="00637861">
        <w:rPr>
          <w:rFonts w:ascii="Times New Roman" w:hAnsi="Times New Roman" w:cs="Times New Roman"/>
          <w:color w:val="000000" w:themeColor="text1"/>
        </w:rPr>
        <w:t xml:space="preserve"> The </w:t>
      </w:r>
      <w:r w:rsidR="00C174C3" w:rsidRPr="00637861">
        <w:rPr>
          <w:rFonts w:ascii="Times New Roman" w:hAnsi="Times New Roman" w:cs="Times New Roman"/>
          <w:color w:val="000000" w:themeColor="text1"/>
        </w:rPr>
        <w:t xml:space="preserve">rules </w:t>
      </w:r>
      <w:r w:rsidR="00C174C3">
        <w:rPr>
          <w:rFonts w:ascii="Times New Roman" w:hAnsi="Times New Roman" w:cs="Times New Roman"/>
          <w:color w:val="000000" w:themeColor="text1"/>
        </w:rPr>
        <w:t xml:space="preserve">of the </w:t>
      </w:r>
      <w:r w:rsidRPr="00637861">
        <w:rPr>
          <w:rFonts w:ascii="Times New Roman" w:hAnsi="Times New Roman" w:cs="Times New Roman"/>
          <w:color w:val="000000" w:themeColor="text1"/>
        </w:rPr>
        <w:t xml:space="preserve">facilitative legal environment </w:t>
      </w:r>
      <w:r w:rsidR="00C174C3" w:rsidRPr="00637861">
        <w:rPr>
          <w:rFonts w:ascii="Times New Roman" w:hAnsi="Times New Roman" w:cs="Times New Roman"/>
          <w:color w:val="000000" w:themeColor="text1"/>
        </w:rPr>
        <w:t xml:space="preserve">identified </w:t>
      </w:r>
      <w:r w:rsidR="00C174C3">
        <w:rPr>
          <w:rFonts w:ascii="Times New Roman" w:hAnsi="Times New Roman" w:cs="Times New Roman"/>
          <w:color w:val="000000" w:themeColor="text1"/>
        </w:rPr>
        <w:t xml:space="preserve">above </w:t>
      </w:r>
      <w:r w:rsidRPr="00637861">
        <w:rPr>
          <w:rFonts w:ascii="Times New Roman" w:hAnsi="Times New Roman" w:cs="Times New Roman"/>
          <w:color w:val="000000" w:themeColor="text1"/>
        </w:rPr>
        <w:t xml:space="preserve">relate to secondary market entry conditions, </w:t>
      </w:r>
      <w:r w:rsidR="00BF5327">
        <w:rPr>
          <w:rFonts w:ascii="Times New Roman" w:hAnsi="Times New Roman" w:cs="Times New Roman"/>
          <w:color w:val="000000" w:themeColor="text1"/>
        </w:rPr>
        <w:t xml:space="preserve">further discussed below, </w:t>
      </w:r>
      <w:r w:rsidRPr="00637861">
        <w:rPr>
          <w:rFonts w:ascii="Times New Roman" w:hAnsi="Times New Roman" w:cs="Times New Roman"/>
          <w:color w:val="000000" w:themeColor="text1"/>
        </w:rPr>
        <w:t xml:space="preserve">which shape actors’ actions given </w:t>
      </w:r>
      <w:r w:rsidR="00C174C3">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potential and actual impact on pricing. Whereas typically dispersed ownership is considered to loosen the covenant monitoring incentives,</w:t>
      </w:r>
      <w:r w:rsidRPr="00637861">
        <w:rPr>
          <w:rStyle w:val="Odwoanieprzypisudolnego"/>
          <w:rFonts w:ascii="Times New Roman" w:hAnsi="Times New Roman" w:cs="Times New Roman"/>
          <w:color w:val="000000" w:themeColor="text1"/>
        </w:rPr>
        <w:footnoteReference w:id="90"/>
      </w:r>
      <w:r w:rsidRPr="00637861">
        <w:rPr>
          <w:rFonts w:ascii="Times New Roman" w:hAnsi="Times New Roman" w:cs="Times New Roman"/>
          <w:color w:val="000000" w:themeColor="text1"/>
        </w:rPr>
        <w:t xml:space="preserve"> in the case of green bonds, we can identify a </w:t>
      </w:r>
      <w:r w:rsidRPr="00637861">
        <w:rPr>
          <w:rFonts w:ascii="Times New Roman" w:hAnsi="Times New Roman" w:cs="Times New Roman"/>
          <w:i/>
          <w:iCs/>
          <w:color w:val="000000" w:themeColor="text1"/>
        </w:rPr>
        <w:t>governance through ESG</w:t>
      </w:r>
      <w:r w:rsidRPr="00637861">
        <w:rPr>
          <w:rFonts w:ascii="Times New Roman" w:hAnsi="Times New Roman" w:cs="Times New Roman"/>
          <w:color w:val="000000" w:themeColor="text1"/>
        </w:rPr>
        <w:t xml:space="preserve"> dimension, that is</w:t>
      </w:r>
      <w:r w:rsidR="00C174C3">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governance through classifications and inclusion in dedicated market segments.</w:t>
      </w:r>
      <w:r w:rsidRPr="00637861">
        <w:rPr>
          <w:rStyle w:val="Odwoanieprzypisudolnego"/>
          <w:rFonts w:ascii="Times New Roman" w:hAnsi="Times New Roman" w:cs="Times New Roman"/>
          <w:color w:val="000000" w:themeColor="text1"/>
        </w:rPr>
        <w:footnoteReference w:id="91"/>
      </w:r>
      <w:r w:rsidRPr="00637861">
        <w:rPr>
          <w:rFonts w:ascii="Times New Roman" w:hAnsi="Times New Roman" w:cs="Times New Roman"/>
          <w:color w:val="000000" w:themeColor="text1"/>
        </w:rPr>
        <w:t xml:space="preserve"> The legal environment of the micro-level firm</w:t>
      </w:r>
      <w:r w:rsidR="00C174C3">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finance relationship shapes and is shaped by new meso-structures that differentiate actor performance, facilitate interactions and – to a certain extent – serve to further substantiate </w:t>
      </w:r>
      <w:r w:rsidR="00C174C3">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sustainability commitments of actors.</w:t>
      </w:r>
    </w:p>
    <w:p w14:paraId="289AA8AD" w14:textId="77777777" w:rsidR="008B50D1" w:rsidRPr="00637861" w:rsidRDefault="008B50D1" w:rsidP="00A05A67">
      <w:pPr>
        <w:spacing w:after="120" w:line="360" w:lineRule="auto"/>
        <w:jc w:val="both"/>
        <w:rPr>
          <w:rFonts w:ascii="Times New Roman" w:hAnsi="Times New Roman" w:cs="Times New Roman"/>
          <w:color w:val="000000" w:themeColor="text1"/>
        </w:rPr>
      </w:pPr>
    </w:p>
    <w:p w14:paraId="585EB0FE" w14:textId="645274AA" w:rsidR="008B50D1" w:rsidRPr="00637861" w:rsidRDefault="008B50D1" w:rsidP="00A05A67">
      <w:pPr>
        <w:pStyle w:val="Nagwek2"/>
        <w:spacing w:before="0" w:after="120" w:line="360" w:lineRule="auto"/>
        <w:jc w:val="both"/>
        <w:rPr>
          <w:rFonts w:ascii="Times New Roman" w:hAnsi="Times New Roman" w:cs="Times New Roman"/>
          <w:b/>
          <w:bCs/>
          <w:color w:val="000000" w:themeColor="text1"/>
          <w:sz w:val="24"/>
          <w:szCs w:val="24"/>
        </w:rPr>
      </w:pPr>
      <w:r w:rsidRPr="00637861">
        <w:rPr>
          <w:rFonts w:ascii="Times New Roman" w:hAnsi="Times New Roman" w:cs="Times New Roman"/>
          <w:b/>
          <w:bCs/>
          <w:color w:val="000000" w:themeColor="text1"/>
          <w:sz w:val="24"/>
          <w:szCs w:val="24"/>
        </w:rPr>
        <w:t xml:space="preserve">D. Green bonds in </w:t>
      </w:r>
      <w:proofErr w:type="spellStart"/>
      <w:r w:rsidRPr="00637861">
        <w:rPr>
          <w:rFonts w:ascii="Times New Roman" w:hAnsi="Times New Roman" w:cs="Times New Roman"/>
          <w:b/>
          <w:bCs/>
          <w:color w:val="000000" w:themeColor="text1"/>
          <w:sz w:val="24"/>
          <w:szCs w:val="24"/>
        </w:rPr>
        <w:t>macrofinancial</w:t>
      </w:r>
      <w:proofErr w:type="spellEnd"/>
      <w:r w:rsidRPr="00637861">
        <w:rPr>
          <w:rFonts w:ascii="Times New Roman" w:hAnsi="Times New Roman" w:cs="Times New Roman"/>
          <w:b/>
          <w:bCs/>
          <w:color w:val="000000" w:themeColor="text1"/>
          <w:sz w:val="24"/>
          <w:szCs w:val="24"/>
        </w:rPr>
        <w:t xml:space="preserve"> policies</w:t>
      </w:r>
    </w:p>
    <w:p w14:paraId="39E22254" w14:textId="60095AC5"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How green bonds are treated by central banks and financial market supervisors constitutes another key</w:t>
      </w:r>
      <w:r w:rsidR="00C174C3" w:rsidRPr="00637861">
        <w:rPr>
          <w:rFonts w:ascii="Times New Roman" w:hAnsi="Times New Roman" w:cs="Times New Roman"/>
          <w:color w:val="000000" w:themeColor="text1"/>
        </w:rPr>
        <w:t xml:space="preserve"> dimension of the facilitative legal environment shaping these instruments</w:t>
      </w:r>
      <w:r w:rsidRPr="00637861">
        <w:rPr>
          <w:rFonts w:ascii="Times New Roman" w:hAnsi="Times New Roman" w:cs="Times New Roman"/>
          <w:color w:val="000000" w:themeColor="text1"/>
        </w:rPr>
        <w:t xml:space="preserve">, yet </w:t>
      </w:r>
      <w:r w:rsidR="00C174C3">
        <w:rPr>
          <w:rFonts w:ascii="Times New Roman" w:hAnsi="Times New Roman" w:cs="Times New Roman"/>
          <w:color w:val="000000" w:themeColor="text1"/>
        </w:rPr>
        <w:t xml:space="preserve">it is </w:t>
      </w:r>
      <w:r w:rsidRPr="00637861">
        <w:rPr>
          <w:rFonts w:ascii="Times New Roman" w:hAnsi="Times New Roman" w:cs="Times New Roman"/>
          <w:color w:val="000000" w:themeColor="text1"/>
        </w:rPr>
        <w:t xml:space="preserve">often overlooked in legal </w:t>
      </w:r>
      <w:r w:rsidR="00C174C3" w:rsidRPr="00637861">
        <w:rPr>
          <w:rFonts w:ascii="Times New Roman" w:hAnsi="Times New Roman" w:cs="Times New Roman"/>
          <w:color w:val="000000" w:themeColor="text1"/>
        </w:rPr>
        <w:t>analys</w:t>
      </w:r>
      <w:r w:rsidR="00C174C3">
        <w:rPr>
          <w:rFonts w:ascii="Times New Roman" w:hAnsi="Times New Roman" w:cs="Times New Roman"/>
          <w:color w:val="000000" w:themeColor="text1"/>
        </w:rPr>
        <w:t>e</w:t>
      </w:r>
      <w:r w:rsidR="00C174C3" w:rsidRPr="00637861">
        <w:rPr>
          <w:rFonts w:ascii="Times New Roman" w:hAnsi="Times New Roman" w:cs="Times New Roman"/>
          <w:color w:val="000000" w:themeColor="text1"/>
        </w:rPr>
        <w:t xml:space="preserve">s </w:t>
      </w:r>
      <w:r w:rsidRPr="00637861">
        <w:rPr>
          <w:rFonts w:ascii="Times New Roman" w:hAnsi="Times New Roman" w:cs="Times New Roman"/>
          <w:color w:val="000000" w:themeColor="text1"/>
        </w:rPr>
        <w:t>of sustainable finance. Meanwhile, legal institutionalist perspectives have long pointed to the hybridity of finance</w:t>
      </w:r>
      <w:r w:rsidR="00C174C3">
        <w:rPr>
          <w:rFonts w:ascii="Times New Roman" w:hAnsi="Times New Roman" w:cs="Times New Roman"/>
          <w:color w:val="000000" w:themeColor="text1"/>
        </w:rPr>
        <w:t xml:space="preserve"> – the</w:t>
      </w:r>
      <w:r w:rsidRPr="00637861">
        <w:rPr>
          <w:rFonts w:ascii="Times New Roman" w:hAnsi="Times New Roman" w:cs="Times New Roman"/>
          <w:color w:val="000000" w:themeColor="text1"/>
        </w:rPr>
        <w:t xml:space="preserve"> blending of public and private </w:t>
      </w:r>
      <w:r w:rsidR="00CB5F2D">
        <w:rPr>
          <w:rFonts w:ascii="Times New Roman" w:hAnsi="Times New Roman" w:cs="Times New Roman"/>
          <w:color w:val="000000" w:themeColor="text1"/>
        </w:rPr>
        <w:t>law</w:t>
      </w:r>
      <w:r w:rsidR="00CB5F2D"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elements that enable private actors to create enforceable financial claims with state-backed legal authority</w:t>
      </w:r>
      <w:r w:rsidR="00CB5F2D">
        <w:rPr>
          <w:rFonts w:ascii="Times New Roman" w:hAnsi="Times New Roman" w:cs="Times New Roman"/>
          <w:color w:val="000000" w:themeColor="text1"/>
        </w:rPr>
        <w:t xml:space="preserve"> –</w:t>
      </w:r>
      <w:r w:rsidR="00CB5F2D"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as a key feature of </w:t>
      </w:r>
      <w:r w:rsidR="00C174C3">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legal coding of capitalism.</w:t>
      </w:r>
      <w:r w:rsidRPr="00637861">
        <w:rPr>
          <w:rStyle w:val="Odwoanieprzypisudolnego"/>
          <w:rFonts w:ascii="Times New Roman" w:hAnsi="Times New Roman" w:cs="Times New Roman"/>
          <w:color w:val="000000" w:themeColor="text1"/>
        </w:rPr>
        <w:footnoteReference w:id="92"/>
      </w:r>
      <w:r w:rsidRPr="00637861">
        <w:rPr>
          <w:rFonts w:ascii="Times New Roman" w:hAnsi="Times New Roman" w:cs="Times New Roman"/>
          <w:color w:val="000000" w:themeColor="text1"/>
        </w:rPr>
        <w:t xml:space="preserve"> Policies shaping the overall </w:t>
      </w:r>
      <w:proofErr w:type="spellStart"/>
      <w:r w:rsidRPr="00637861">
        <w:rPr>
          <w:rFonts w:ascii="Times New Roman" w:hAnsi="Times New Roman" w:cs="Times New Roman"/>
          <w:color w:val="000000" w:themeColor="text1"/>
        </w:rPr>
        <w:t>macrofinancial</w:t>
      </w:r>
      <w:proofErr w:type="spellEnd"/>
      <w:r w:rsidRPr="00637861">
        <w:rPr>
          <w:rFonts w:ascii="Times New Roman" w:hAnsi="Times New Roman" w:cs="Times New Roman"/>
          <w:color w:val="000000" w:themeColor="text1"/>
        </w:rPr>
        <w:t xml:space="preserve"> regime</w:t>
      </w:r>
      <w:r w:rsidRPr="00637861">
        <w:rPr>
          <w:rStyle w:val="Odwoanieprzypisudolnego"/>
          <w:rFonts w:ascii="Times New Roman" w:hAnsi="Times New Roman" w:cs="Times New Roman"/>
          <w:color w:val="000000" w:themeColor="text1"/>
        </w:rPr>
        <w:footnoteReference w:id="93"/>
      </w:r>
      <w:r w:rsidRPr="00637861">
        <w:rPr>
          <w:rFonts w:ascii="Times New Roman" w:hAnsi="Times New Roman" w:cs="Times New Roman"/>
          <w:color w:val="000000" w:themeColor="text1"/>
        </w:rPr>
        <w:t xml:space="preserve"> </w:t>
      </w:r>
      <w:r w:rsidR="00C174C3">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for example</w:t>
      </w:r>
      <w:r w:rsidR="00C174C3">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monetary policy calibration, prudential regulations and market conduct oversight</w:t>
      </w:r>
      <w:r w:rsidR="00C174C3">
        <w:rPr>
          <w:rFonts w:ascii="Times New Roman" w:hAnsi="Times New Roman" w:cs="Times New Roman"/>
          <w:color w:val="000000" w:themeColor="text1"/>
        </w:rPr>
        <w:t xml:space="preserve"> –</w:t>
      </w:r>
      <w:r w:rsidR="00C174C3"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shape the legal environment of sustainable finance along all the analysed dimensions: the regulatory, the facilitative </w:t>
      </w:r>
      <w:r w:rsidRPr="00637861">
        <w:rPr>
          <w:rFonts w:ascii="Times New Roman" w:hAnsi="Times New Roman" w:cs="Times New Roman"/>
          <w:color w:val="000000" w:themeColor="text1"/>
        </w:rPr>
        <w:lastRenderedPageBreak/>
        <w:t>and the constitutive. As in the case of green bond documentation or negotiation practices, we can identify several ways in which central banks and supervisors develop dedicated green bond practices</w:t>
      </w:r>
      <w:r w:rsidR="00C174C3">
        <w:rPr>
          <w:rFonts w:ascii="Times New Roman" w:hAnsi="Times New Roman" w:cs="Times New Roman"/>
          <w:color w:val="000000" w:themeColor="text1"/>
        </w:rPr>
        <w:t xml:space="preserve"> </w:t>
      </w:r>
      <w:r w:rsidR="00C174C3" w:rsidRPr="00637861">
        <w:rPr>
          <w:rFonts w:ascii="Times New Roman" w:hAnsi="Times New Roman" w:cs="Times New Roman"/>
          <w:color w:val="000000" w:themeColor="text1"/>
        </w:rPr>
        <w:t>(or not)</w:t>
      </w:r>
      <w:r w:rsidRPr="00637861">
        <w:rPr>
          <w:rFonts w:ascii="Times New Roman" w:hAnsi="Times New Roman" w:cs="Times New Roman"/>
          <w:color w:val="000000" w:themeColor="text1"/>
        </w:rPr>
        <w:t>.</w:t>
      </w:r>
    </w:p>
    <w:p w14:paraId="5E09DE3B" w14:textId="325E9DEB" w:rsidR="008B50D1" w:rsidRPr="00637861" w:rsidRDefault="008B50D1" w:rsidP="008006FB">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Central banks, supervisors and regulators may react in differ ways to innovation in the market. They can adapt to the new challenge, for example</w:t>
      </w:r>
      <w:r w:rsidR="00C174C3">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by providing guidance and expectations as regards the sustainable finance practices. Or they can adopt a position of forbearance: observing the market developments from a distance.</w:t>
      </w:r>
      <w:r w:rsidRPr="00637861">
        <w:rPr>
          <w:rStyle w:val="Odwoanieprzypisudolnego"/>
          <w:rFonts w:ascii="Times New Roman" w:hAnsi="Times New Roman" w:cs="Times New Roman"/>
          <w:color w:val="000000" w:themeColor="text1"/>
        </w:rPr>
        <w:footnoteReference w:id="94"/>
      </w:r>
      <w:r w:rsidRPr="00637861">
        <w:rPr>
          <w:rFonts w:ascii="Times New Roman" w:hAnsi="Times New Roman" w:cs="Times New Roman"/>
          <w:color w:val="000000" w:themeColor="text1"/>
        </w:rPr>
        <w:t xml:space="preserve"> So far, most of the financial authorities have adopted the latter approach.</w:t>
      </w:r>
      <w:r w:rsidRPr="00637861">
        <w:rPr>
          <w:rStyle w:val="Odwoanieprzypisudolnego"/>
          <w:rFonts w:ascii="Times New Roman" w:hAnsi="Times New Roman" w:cs="Times New Roman"/>
          <w:color w:val="000000" w:themeColor="text1"/>
        </w:rPr>
        <w:footnoteReference w:id="95"/>
      </w:r>
      <w:r w:rsidRPr="00637861">
        <w:rPr>
          <w:rFonts w:ascii="Times New Roman" w:hAnsi="Times New Roman" w:cs="Times New Roman"/>
          <w:color w:val="000000" w:themeColor="text1"/>
        </w:rPr>
        <w:t xml:space="preserve"> Efforts to further align market practice, especially by providing a framework for differentiat</w:t>
      </w:r>
      <w:r w:rsidR="00C174C3">
        <w:rPr>
          <w:rFonts w:ascii="Times New Roman" w:hAnsi="Times New Roman" w:cs="Times New Roman"/>
          <w:color w:val="000000" w:themeColor="text1"/>
        </w:rPr>
        <w:t>ing the</w:t>
      </w:r>
      <w:r w:rsidRPr="00637861">
        <w:rPr>
          <w:rFonts w:ascii="Times New Roman" w:hAnsi="Times New Roman" w:cs="Times New Roman"/>
          <w:color w:val="000000" w:themeColor="text1"/>
        </w:rPr>
        <w:t xml:space="preserve"> supervision of sustainable issuances under the common rules</w:t>
      </w:r>
      <w:r w:rsidR="00C174C3">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were made largely by EU agencies, such as the European Securities and Markets Agency, </w:t>
      </w:r>
      <w:r w:rsidR="009F215F" w:rsidRPr="00637861">
        <w:rPr>
          <w:rFonts w:ascii="Times New Roman" w:hAnsi="Times New Roman" w:cs="Times New Roman"/>
          <w:color w:val="000000" w:themeColor="text1"/>
        </w:rPr>
        <w:t>and are limited to</w:t>
      </w:r>
      <w:r w:rsidRPr="00637861">
        <w:rPr>
          <w:rFonts w:ascii="Times New Roman" w:hAnsi="Times New Roman" w:cs="Times New Roman"/>
          <w:color w:val="000000" w:themeColor="text1"/>
        </w:rPr>
        <w:t xml:space="preserve"> identifying specific elements of green bond frameworks that supervisors should be paying attention to.</w:t>
      </w:r>
      <w:r w:rsidRPr="00637861">
        <w:rPr>
          <w:rStyle w:val="Odwoanieprzypisudolnego"/>
          <w:rFonts w:ascii="Times New Roman" w:hAnsi="Times New Roman" w:cs="Times New Roman"/>
          <w:color w:val="000000" w:themeColor="text1"/>
        </w:rPr>
        <w:footnoteReference w:id="96"/>
      </w:r>
      <w:r w:rsidRPr="00637861">
        <w:rPr>
          <w:rFonts w:ascii="Times New Roman" w:hAnsi="Times New Roman" w:cs="Times New Roman"/>
          <w:color w:val="000000" w:themeColor="text1"/>
        </w:rPr>
        <w:t xml:space="preserve"> </w:t>
      </w:r>
    </w:p>
    <w:p w14:paraId="40624443" w14:textId="730AA926"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Arguably, however, in the EU we have observed </w:t>
      </w:r>
      <w:r w:rsidR="00C174C3">
        <w:rPr>
          <w:rFonts w:ascii="Times New Roman" w:hAnsi="Times New Roman" w:cs="Times New Roman"/>
          <w:color w:val="000000" w:themeColor="text1"/>
        </w:rPr>
        <w:t xml:space="preserve">that </w:t>
      </w:r>
      <w:r w:rsidRPr="00637861">
        <w:rPr>
          <w:rFonts w:ascii="Times New Roman" w:hAnsi="Times New Roman" w:cs="Times New Roman"/>
          <w:color w:val="000000" w:themeColor="text1"/>
        </w:rPr>
        <w:t xml:space="preserve">most detailed guidance regarding sustainable finance products is generally </w:t>
      </w:r>
      <w:r w:rsidR="005F577B">
        <w:rPr>
          <w:rFonts w:ascii="Times New Roman" w:hAnsi="Times New Roman" w:cs="Times New Roman"/>
          <w:color w:val="000000" w:themeColor="text1"/>
        </w:rPr>
        <w:t xml:space="preserve">developed </w:t>
      </w:r>
      <w:r w:rsidRPr="00637861">
        <w:rPr>
          <w:rFonts w:ascii="Times New Roman" w:hAnsi="Times New Roman" w:cs="Times New Roman"/>
          <w:color w:val="000000" w:themeColor="text1"/>
        </w:rPr>
        <w:t xml:space="preserve">not </w:t>
      </w:r>
      <w:r w:rsidR="005F577B">
        <w:rPr>
          <w:rFonts w:ascii="Times New Roman" w:hAnsi="Times New Roman" w:cs="Times New Roman"/>
          <w:color w:val="000000" w:themeColor="text1"/>
        </w:rPr>
        <w:t>by the</w:t>
      </w:r>
      <w:r w:rsidRPr="00637861">
        <w:rPr>
          <w:rFonts w:ascii="Times New Roman" w:hAnsi="Times New Roman" w:cs="Times New Roman"/>
          <w:color w:val="000000" w:themeColor="text1"/>
        </w:rPr>
        <w:t xml:space="preserve"> supervis</w:t>
      </w:r>
      <w:r w:rsidR="005F577B">
        <w:rPr>
          <w:rFonts w:ascii="Times New Roman" w:hAnsi="Times New Roman" w:cs="Times New Roman"/>
          <w:color w:val="000000" w:themeColor="text1"/>
        </w:rPr>
        <w:t>ors</w:t>
      </w:r>
      <w:r w:rsidRPr="00637861">
        <w:rPr>
          <w:rFonts w:ascii="Times New Roman" w:hAnsi="Times New Roman" w:cs="Times New Roman"/>
          <w:color w:val="000000" w:themeColor="text1"/>
        </w:rPr>
        <w:t xml:space="preserve">, but rather the prudential and monetary policy </w:t>
      </w:r>
      <w:r w:rsidR="005F577B">
        <w:rPr>
          <w:rFonts w:ascii="Times New Roman" w:hAnsi="Times New Roman" w:cs="Times New Roman"/>
          <w:color w:val="000000" w:themeColor="text1"/>
        </w:rPr>
        <w:t>authorities</w:t>
      </w:r>
      <w:r w:rsidRPr="00637861">
        <w:rPr>
          <w:rFonts w:ascii="Times New Roman" w:hAnsi="Times New Roman" w:cs="Times New Roman"/>
          <w:color w:val="000000" w:themeColor="text1"/>
        </w:rPr>
        <w:t>, especially by the European Central Bank.</w:t>
      </w:r>
      <w:r w:rsidRPr="00637861">
        <w:rPr>
          <w:rStyle w:val="Odwoanieprzypisudolnego"/>
          <w:rFonts w:ascii="Times New Roman" w:hAnsi="Times New Roman" w:cs="Times New Roman"/>
          <w:color w:val="000000" w:themeColor="text1"/>
        </w:rPr>
        <w:footnoteReference w:id="97"/>
      </w:r>
      <w:r w:rsidRPr="00637861">
        <w:rPr>
          <w:rFonts w:ascii="Times New Roman" w:hAnsi="Times New Roman" w:cs="Times New Roman"/>
          <w:color w:val="000000" w:themeColor="text1"/>
        </w:rPr>
        <w:t xml:space="preserve"> The EU </w:t>
      </w:r>
      <w:proofErr w:type="spellStart"/>
      <w:r w:rsidRPr="00637861">
        <w:rPr>
          <w:rFonts w:ascii="Times New Roman" w:hAnsi="Times New Roman" w:cs="Times New Roman"/>
          <w:color w:val="000000" w:themeColor="text1"/>
        </w:rPr>
        <w:t>macrofinancial</w:t>
      </w:r>
      <w:proofErr w:type="spellEnd"/>
      <w:r w:rsidRPr="00637861">
        <w:rPr>
          <w:rFonts w:ascii="Times New Roman" w:hAnsi="Times New Roman" w:cs="Times New Roman"/>
          <w:color w:val="000000" w:themeColor="text1"/>
        </w:rPr>
        <w:t xml:space="preserve"> regime</w:t>
      </w:r>
      <w:r w:rsidR="009F215F" w:rsidRPr="00637861">
        <w:rPr>
          <w:rFonts w:ascii="Times New Roman" w:hAnsi="Times New Roman" w:cs="Times New Roman"/>
          <w:color w:val="000000" w:themeColor="text1"/>
        </w:rPr>
        <w:t xml:space="preserve"> increasingly</w:t>
      </w:r>
      <w:r w:rsidRPr="00637861">
        <w:rPr>
          <w:rFonts w:ascii="Times New Roman" w:hAnsi="Times New Roman" w:cs="Times New Roman"/>
          <w:color w:val="000000" w:themeColor="text1"/>
        </w:rPr>
        <w:t xml:space="preserve"> allows for favourable treatment of sustainable issuances for prudential or monetary policy purposes, e.g. by extending to these instruments eligibility criteria for specific </w:t>
      </w:r>
      <w:r w:rsidR="009F215F" w:rsidRPr="00637861">
        <w:rPr>
          <w:rFonts w:ascii="Times New Roman" w:hAnsi="Times New Roman" w:cs="Times New Roman"/>
          <w:color w:val="000000" w:themeColor="text1"/>
        </w:rPr>
        <w:t>policies</w:t>
      </w:r>
      <w:r w:rsidRPr="00637861">
        <w:rPr>
          <w:rFonts w:ascii="Times New Roman" w:hAnsi="Times New Roman" w:cs="Times New Roman"/>
          <w:color w:val="000000" w:themeColor="text1"/>
        </w:rPr>
        <w:t xml:space="preserve">, </w:t>
      </w:r>
      <w:r w:rsidR="00E56DA0">
        <w:rPr>
          <w:rFonts w:ascii="Times New Roman" w:hAnsi="Times New Roman" w:cs="Times New Roman"/>
          <w:color w:val="000000" w:themeColor="text1"/>
        </w:rPr>
        <w:t>which</w:t>
      </w:r>
      <w:r w:rsidR="00E56DA0"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subsequently feed across the dimensions of the legal environment. For example, </w:t>
      </w:r>
      <w:r w:rsidR="00E56DA0" w:rsidRPr="00637861">
        <w:rPr>
          <w:rFonts w:ascii="Times New Roman" w:hAnsi="Times New Roman" w:cs="Times New Roman"/>
          <w:color w:val="000000" w:themeColor="text1"/>
        </w:rPr>
        <w:t>the E</w:t>
      </w:r>
      <w:r w:rsidR="00E56DA0">
        <w:rPr>
          <w:rFonts w:ascii="Times New Roman" w:hAnsi="Times New Roman" w:cs="Times New Roman"/>
          <w:color w:val="000000" w:themeColor="text1"/>
        </w:rPr>
        <w:t xml:space="preserve">uropean </w:t>
      </w:r>
      <w:r w:rsidR="00E56DA0" w:rsidRPr="00637861">
        <w:rPr>
          <w:rFonts w:ascii="Times New Roman" w:hAnsi="Times New Roman" w:cs="Times New Roman"/>
          <w:color w:val="000000" w:themeColor="text1"/>
        </w:rPr>
        <w:t>C</w:t>
      </w:r>
      <w:r w:rsidR="00E56DA0">
        <w:rPr>
          <w:rFonts w:ascii="Times New Roman" w:hAnsi="Times New Roman" w:cs="Times New Roman"/>
          <w:color w:val="000000" w:themeColor="text1"/>
        </w:rPr>
        <w:t xml:space="preserve">entral </w:t>
      </w:r>
      <w:r w:rsidR="00E56DA0" w:rsidRPr="00637861">
        <w:rPr>
          <w:rFonts w:ascii="Times New Roman" w:hAnsi="Times New Roman" w:cs="Times New Roman"/>
          <w:color w:val="000000" w:themeColor="text1"/>
        </w:rPr>
        <w:t>B</w:t>
      </w:r>
      <w:r w:rsidR="00E56DA0">
        <w:rPr>
          <w:rFonts w:ascii="Times New Roman" w:hAnsi="Times New Roman" w:cs="Times New Roman"/>
          <w:color w:val="000000" w:themeColor="text1"/>
        </w:rPr>
        <w:t>ank</w:t>
      </w:r>
      <w:r w:rsidR="001F212E">
        <w:rPr>
          <w:rFonts w:ascii="Times New Roman" w:hAnsi="Times New Roman" w:cs="Times New Roman"/>
          <w:color w:val="000000" w:themeColor="text1"/>
        </w:rPr>
        <w:t xml:space="preserve"> developed a</w:t>
      </w:r>
      <w:r w:rsidR="00E56DA0"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dedicated treatment of </w:t>
      </w:r>
      <w:r w:rsidR="00E56DA0">
        <w:rPr>
          <w:rFonts w:ascii="Times New Roman" w:hAnsi="Times New Roman" w:cs="Times New Roman"/>
          <w:color w:val="000000" w:themeColor="text1"/>
        </w:rPr>
        <w:t>sustainability-linked bond</w:t>
      </w:r>
      <w:r w:rsidRPr="00637861">
        <w:rPr>
          <w:rFonts w:ascii="Times New Roman" w:hAnsi="Times New Roman" w:cs="Times New Roman"/>
          <w:color w:val="000000" w:themeColor="text1"/>
        </w:rPr>
        <w:t xml:space="preserve">s </w:t>
      </w:r>
      <w:r w:rsidR="001F212E">
        <w:rPr>
          <w:rFonts w:ascii="Times New Roman" w:hAnsi="Times New Roman" w:cs="Times New Roman"/>
          <w:color w:val="000000" w:themeColor="text1"/>
        </w:rPr>
        <w:t xml:space="preserve">that </w:t>
      </w:r>
      <w:r w:rsidRPr="00637861">
        <w:rPr>
          <w:rFonts w:ascii="Times New Roman" w:hAnsi="Times New Roman" w:cs="Times New Roman"/>
          <w:color w:val="000000" w:themeColor="text1"/>
        </w:rPr>
        <w:t xml:space="preserve">has resulted in information on whether the financing meets </w:t>
      </w:r>
      <w:r w:rsidR="00F9622D">
        <w:rPr>
          <w:rFonts w:ascii="Times New Roman" w:hAnsi="Times New Roman" w:cs="Times New Roman"/>
          <w:color w:val="000000" w:themeColor="text1"/>
        </w:rPr>
        <w:t>the ECB’s</w:t>
      </w:r>
      <w:r w:rsidR="00F9622D"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standard being included in both </w:t>
      </w:r>
      <w:r w:rsidR="00E56DA0">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ICMA Principles</w:t>
      </w:r>
      <w:r w:rsidR="00E56DA0">
        <w:rPr>
          <w:rFonts w:ascii="Times New Roman" w:hAnsi="Times New Roman" w:cs="Times New Roman"/>
          <w:color w:val="000000" w:themeColor="text1"/>
        </w:rPr>
        <w:t xml:space="preserve"> and </w:t>
      </w:r>
      <w:r w:rsidRPr="00637861">
        <w:rPr>
          <w:rFonts w:ascii="Times New Roman" w:hAnsi="Times New Roman" w:cs="Times New Roman"/>
          <w:color w:val="000000" w:themeColor="text1"/>
        </w:rPr>
        <w:t>investor platforms.</w:t>
      </w:r>
      <w:r w:rsidRPr="00637861">
        <w:rPr>
          <w:rStyle w:val="Odwoanieprzypisudolnego"/>
          <w:rFonts w:ascii="Times New Roman" w:hAnsi="Times New Roman" w:cs="Times New Roman"/>
          <w:color w:val="000000" w:themeColor="text1"/>
        </w:rPr>
        <w:footnoteReference w:id="98"/>
      </w:r>
      <w:r w:rsidRPr="00637861">
        <w:rPr>
          <w:rFonts w:ascii="Times New Roman" w:hAnsi="Times New Roman" w:cs="Times New Roman"/>
          <w:color w:val="000000" w:themeColor="text1"/>
        </w:rPr>
        <w:t xml:space="preserve"> </w:t>
      </w:r>
      <w:r w:rsidR="001F212E">
        <w:rPr>
          <w:rFonts w:ascii="Times New Roman" w:hAnsi="Times New Roman" w:cs="Times New Roman"/>
          <w:color w:val="000000" w:themeColor="text1"/>
        </w:rPr>
        <w:t xml:space="preserve">Such explicit reference suggests </w:t>
      </w:r>
      <w:r w:rsidR="00E60312">
        <w:rPr>
          <w:rFonts w:ascii="Times New Roman" w:hAnsi="Times New Roman" w:cs="Times New Roman"/>
          <w:color w:val="000000" w:themeColor="text1"/>
        </w:rPr>
        <w:t xml:space="preserve">the ECB’s framework is material to shaping actors’ decisions. </w:t>
      </w:r>
      <w:r w:rsidR="00F15B95">
        <w:rPr>
          <w:rFonts w:ascii="Times New Roman" w:hAnsi="Times New Roman" w:cs="Times New Roman"/>
          <w:color w:val="000000" w:themeColor="text1"/>
        </w:rPr>
        <w:t>Further</w:t>
      </w:r>
      <w:r w:rsidRPr="00637861">
        <w:rPr>
          <w:rFonts w:ascii="Times New Roman" w:hAnsi="Times New Roman" w:cs="Times New Roman"/>
          <w:color w:val="000000" w:themeColor="text1"/>
        </w:rPr>
        <w:t xml:space="preserve">, following a 2024 reform of EU prudential rules, prudential supervisors </w:t>
      </w:r>
      <w:r w:rsidR="00E56DA0">
        <w:rPr>
          <w:rFonts w:ascii="Times New Roman" w:hAnsi="Times New Roman" w:cs="Times New Roman"/>
          <w:color w:val="000000" w:themeColor="text1"/>
        </w:rPr>
        <w:t>ar</w:t>
      </w:r>
      <w:r w:rsidRPr="00637861">
        <w:rPr>
          <w:rFonts w:ascii="Times New Roman" w:hAnsi="Times New Roman" w:cs="Times New Roman"/>
          <w:color w:val="000000" w:themeColor="text1"/>
        </w:rPr>
        <w:t>e required to consider the sustainable finance product</w:t>
      </w:r>
      <w:r w:rsidR="00E56DA0">
        <w:rPr>
          <w:rFonts w:ascii="Times New Roman" w:hAnsi="Times New Roman" w:cs="Times New Roman"/>
          <w:color w:val="000000" w:themeColor="text1"/>
        </w:rPr>
        <w:t>s</w:t>
      </w:r>
      <w:r w:rsidRPr="00637861">
        <w:rPr>
          <w:rFonts w:ascii="Times New Roman" w:hAnsi="Times New Roman" w:cs="Times New Roman"/>
          <w:color w:val="000000" w:themeColor="text1"/>
        </w:rPr>
        <w:t xml:space="preserve"> offer</w:t>
      </w:r>
      <w:r w:rsidR="00E56DA0">
        <w:rPr>
          <w:rFonts w:ascii="Times New Roman" w:hAnsi="Times New Roman" w:cs="Times New Roman"/>
          <w:color w:val="000000" w:themeColor="text1"/>
        </w:rPr>
        <w:t>ed</w:t>
      </w:r>
      <w:r w:rsidRPr="00637861">
        <w:rPr>
          <w:rFonts w:ascii="Times New Roman" w:hAnsi="Times New Roman" w:cs="Times New Roman"/>
          <w:color w:val="000000" w:themeColor="text1"/>
        </w:rPr>
        <w:t xml:space="preserve"> by banks </w:t>
      </w:r>
      <w:r w:rsidRPr="00637861">
        <w:rPr>
          <w:rFonts w:ascii="Times New Roman" w:hAnsi="Times New Roman" w:cs="Times New Roman"/>
          <w:color w:val="000000" w:themeColor="text1"/>
        </w:rPr>
        <w:lastRenderedPageBreak/>
        <w:t>in the</w:t>
      </w:r>
      <w:r w:rsidR="00E56DA0">
        <w:rPr>
          <w:rFonts w:ascii="Times New Roman" w:hAnsi="Times New Roman" w:cs="Times New Roman"/>
          <w:color w:val="000000" w:themeColor="text1"/>
        </w:rPr>
        <w:t>ir</w:t>
      </w:r>
      <w:r w:rsidRPr="00637861">
        <w:rPr>
          <w:rFonts w:ascii="Times New Roman" w:hAnsi="Times New Roman" w:cs="Times New Roman"/>
          <w:color w:val="000000" w:themeColor="text1"/>
        </w:rPr>
        <w:t xml:space="preserve"> assessment of the adequacy of internal risk management.</w:t>
      </w:r>
      <w:r w:rsidRPr="00637861">
        <w:rPr>
          <w:rStyle w:val="Odwoanieprzypisudolnego"/>
          <w:rFonts w:ascii="Times New Roman" w:hAnsi="Times New Roman" w:cs="Times New Roman"/>
          <w:color w:val="000000" w:themeColor="text1"/>
        </w:rPr>
        <w:footnoteReference w:id="99"/>
      </w:r>
      <w:r w:rsidRPr="00637861">
        <w:rPr>
          <w:rFonts w:ascii="Times New Roman" w:hAnsi="Times New Roman" w:cs="Times New Roman"/>
          <w:color w:val="000000" w:themeColor="text1"/>
        </w:rPr>
        <w:t xml:space="preserve"> Such measures create incentives for the EU’s financial sector to actively promote sustainable finance products among their clients.</w:t>
      </w:r>
    </w:p>
    <w:p w14:paraId="1BDE947F" w14:textId="4B4D856B" w:rsidR="008B50D1" w:rsidRPr="00637861" w:rsidRDefault="008B50D1" w:rsidP="00315C50">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These practices of key public actors within the EU’s </w:t>
      </w:r>
      <w:proofErr w:type="spellStart"/>
      <w:r w:rsidRPr="00637861">
        <w:rPr>
          <w:rFonts w:ascii="Times New Roman" w:hAnsi="Times New Roman" w:cs="Times New Roman"/>
          <w:color w:val="000000" w:themeColor="text1"/>
        </w:rPr>
        <w:t>macrofinancial</w:t>
      </w:r>
      <w:proofErr w:type="spellEnd"/>
      <w:r w:rsidRPr="00637861">
        <w:rPr>
          <w:rFonts w:ascii="Times New Roman" w:hAnsi="Times New Roman" w:cs="Times New Roman"/>
          <w:color w:val="000000" w:themeColor="text1"/>
        </w:rPr>
        <w:t xml:space="preserve"> regime may</w:t>
      </w:r>
      <w:r w:rsidR="009F215F" w:rsidRPr="00637861">
        <w:rPr>
          <w:rFonts w:ascii="Times New Roman" w:hAnsi="Times New Roman" w:cs="Times New Roman"/>
          <w:color w:val="000000" w:themeColor="text1"/>
        </w:rPr>
        <w:t xml:space="preserve"> therefore</w:t>
      </w:r>
      <w:r w:rsidRPr="00637861">
        <w:rPr>
          <w:rFonts w:ascii="Times New Roman" w:hAnsi="Times New Roman" w:cs="Times New Roman"/>
          <w:color w:val="000000" w:themeColor="text1"/>
        </w:rPr>
        <w:t xml:space="preserve"> shape the supply and demand for green credit in the pursuit of a sustainable future. They restrict financial market actors, </w:t>
      </w:r>
      <w:r w:rsidR="009F215F" w:rsidRPr="00637861">
        <w:rPr>
          <w:rFonts w:ascii="Times New Roman" w:hAnsi="Times New Roman" w:cs="Times New Roman"/>
          <w:color w:val="000000" w:themeColor="text1"/>
        </w:rPr>
        <w:t>constituting</w:t>
      </w:r>
      <w:r w:rsidRPr="00637861">
        <w:rPr>
          <w:rFonts w:ascii="Times New Roman" w:hAnsi="Times New Roman" w:cs="Times New Roman"/>
          <w:color w:val="000000" w:themeColor="text1"/>
        </w:rPr>
        <w:t xml:space="preserve"> the relationships between the borrower and the creditor in a particular way</w:t>
      </w:r>
      <w:r w:rsidR="00E56DA0">
        <w:rPr>
          <w:rFonts w:ascii="Times New Roman" w:hAnsi="Times New Roman" w:cs="Times New Roman"/>
          <w:color w:val="000000" w:themeColor="text1"/>
        </w:rPr>
        <w:t xml:space="preserve"> and</w:t>
      </w:r>
      <w:r w:rsidR="00E56DA0"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granting a privileged position to sustainability considerations. Since the Great Financial Crisis</w:t>
      </w:r>
      <w:r w:rsidR="00E56DA0">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regulations across the globe have </w:t>
      </w:r>
      <w:r w:rsidR="009F215F" w:rsidRPr="00637861">
        <w:rPr>
          <w:rFonts w:ascii="Times New Roman" w:hAnsi="Times New Roman" w:cs="Times New Roman"/>
          <w:color w:val="000000" w:themeColor="text1"/>
        </w:rPr>
        <w:t>regulated finance in an increasingly granular way</w:t>
      </w:r>
      <w:r w:rsidR="001E1B32">
        <w:rPr>
          <w:rFonts w:ascii="Times New Roman" w:hAnsi="Times New Roman" w:cs="Times New Roman"/>
          <w:color w:val="000000" w:themeColor="text1"/>
        </w:rPr>
        <w:t xml:space="preserve">, in particular restricting socially harmful risk-taking and requiring banks to make further provisions for </w:t>
      </w:r>
      <w:r w:rsidR="00EC7FC2">
        <w:rPr>
          <w:rFonts w:ascii="Times New Roman" w:hAnsi="Times New Roman" w:cs="Times New Roman"/>
          <w:color w:val="000000" w:themeColor="text1"/>
        </w:rPr>
        <w:t>cases of instability</w:t>
      </w:r>
      <w:r w:rsidRPr="00637861">
        <w:rPr>
          <w:rFonts w:ascii="Times New Roman" w:hAnsi="Times New Roman" w:cs="Times New Roman"/>
          <w:color w:val="000000" w:themeColor="text1"/>
        </w:rPr>
        <w:t>.</w:t>
      </w:r>
      <w:r w:rsidR="00BF3409">
        <w:rPr>
          <w:rStyle w:val="Odwoanieprzypisudolnego"/>
          <w:rFonts w:ascii="Times New Roman" w:hAnsi="Times New Roman" w:cs="Times New Roman"/>
          <w:color w:val="000000" w:themeColor="text1"/>
        </w:rPr>
        <w:footnoteReference w:id="100"/>
      </w:r>
      <w:r w:rsidRPr="00637861">
        <w:rPr>
          <w:rFonts w:ascii="Times New Roman" w:hAnsi="Times New Roman" w:cs="Times New Roman"/>
          <w:color w:val="000000" w:themeColor="text1"/>
        </w:rPr>
        <w:t xml:space="preserve"> However, </w:t>
      </w:r>
      <w:r w:rsidR="00E56DA0">
        <w:rPr>
          <w:rFonts w:ascii="Times New Roman" w:hAnsi="Times New Roman" w:cs="Times New Roman"/>
          <w:color w:val="000000" w:themeColor="text1"/>
        </w:rPr>
        <w:t>this</w:t>
      </w:r>
      <w:r w:rsidRPr="00637861">
        <w:rPr>
          <w:rFonts w:ascii="Times New Roman" w:hAnsi="Times New Roman" w:cs="Times New Roman"/>
          <w:color w:val="000000" w:themeColor="text1"/>
        </w:rPr>
        <w:t xml:space="preserve"> transformation is not </w:t>
      </w:r>
      <w:r w:rsidR="00E56DA0">
        <w:rPr>
          <w:rFonts w:ascii="Times New Roman" w:hAnsi="Times New Roman" w:cs="Times New Roman"/>
          <w:color w:val="000000" w:themeColor="text1"/>
        </w:rPr>
        <w:t xml:space="preserve">such </w:t>
      </w:r>
      <w:r w:rsidRPr="00637861">
        <w:rPr>
          <w:rFonts w:ascii="Times New Roman" w:hAnsi="Times New Roman" w:cs="Times New Roman"/>
          <w:color w:val="000000" w:themeColor="text1"/>
        </w:rPr>
        <w:t>a foregone conclusion as the pushback against</w:t>
      </w:r>
      <w:r w:rsidR="006E7426">
        <w:rPr>
          <w:rFonts w:ascii="Times New Roman" w:hAnsi="Times New Roman" w:cs="Times New Roman"/>
          <w:color w:val="000000" w:themeColor="text1"/>
        </w:rPr>
        <w:t xml:space="preserve"> prudential</w:t>
      </w:r>
      <w:r w:rsidRPr="00637861">
        <w:rPr>
          <w:rFonts w:ascii="Times New Roman" w:hAnsi="Times New Roman" w:cs="Times New Roman"/>
          <w:color w:val="000000" w:themeColor="text1"/>
        </w:rPr>
        <w:t xml:space="preserve"> </w:t>
      </w:r>
      <w:r w:rsidR="005F783D">
        <w:rPr>
          <w:rFonts w:ascii="Times New Roman" w:hAnsi="Times New Roman" w:cs="Times New Roman"/>
          <w:color w:val="000000" w:themeColor="text1"/>
        </w:rPr>
        <w:t xml:space="preserve">regulation in general and </w:t>
      </w:r>
      <w:r w:rsidRPr="00637861">
        <w:rPr>
          <w:rFonts w:ascii="Times New Roman" w:hAnsi="Times New Roman" w:cs="Times New Roman"/>
          <w:color w:val="000000" w:themeColor="text1"/>
        </w:rPr>
        <w:t xml:space="preserve">ESG </w:t>
      </w:r>
      <w:r w:rsidR="005F783D">
        <w:rPr>
          <w:rFonts w:ascii="Times New Roman" w:hAnsi="Times New Roman" w:cs="Times New Roman"/>
          <w:color w:val="000000" w:themeColor="text1"/>
        </w:rPr>
        <w:t>in particular (e.g. in the USA)</w:t>
      </w:r>
      <w:r w:rsidRPr="00637861">
        <w:rPr>
          <w:rFonts w:ascii="Times New Roman" w:hAnsi="Times New Roman" w:cs="Times New Roman"/>
          <w:color w:val="000000" w:themeColor="text1"/>
        </w:rPr>
        <w:t xml:space="preserve"> suggests. The divergent US and EU trajectories in this regard also suggest that whereas </w:t>
      </w:r>
      <w:r w:rsidR="00E56DA0">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euro may become ‘the currency of the green transition’, the dollar is less likely to see a similar transformational push.</w:t>
      </w:r>
      <w:r w:rsidRPr="00637861">
        <w:rPr>
          <w:rStyle w:val="Odwoanieprzypisudolnego"/>
          <w:rFonts w:ascii="Times New Roman" w:hAnsi="Times New Roman" w:cs="Times New Roman"/>
          <w:color w:val="000000" w:themeColor="text1"/>
        </w:rPr>
        <w:footnoteReference w:id="101"/>
      </w:r>
      <w:r w:rsidRPr="00637861">
        <w:rPr>
          <w:rFonts w:ascii="Times New Roman" w:hAnsi="Times New Roman" w:cs="Times New Roman"/>
          <w:color w:val="000000" w:themeColor="text1"/>
        </w:rPr>
        <w:t xml:space="preserve"> In the context of the legally</w:t>
      </w:r>
      <w:r w:rsidR="00E56DA0">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constituted hybridity of money, such differences in the </w:t>
      </w:r>
      <w:proofErr w:type="spellStart"/>
      <w:r w:rsidRPr="00637861">
        <w:rPr>
          <w:rFonts w:ascii="Times New Roman" w:hAnsi="Times New Roman" w:cs="Times New Roman"/>
          <w:color w:val="000000" w:themeColor="text1"/>
        </w:rPr>
        <w:t>macrofinancial</w:t>
      </w:r>
      <w:proofErr w:type="spellEnd"/>
      <w:r w:rsidRPr="00637861">
        <w:rPr>
          <w:rFonts w:ascii="Times New Roman" w:hAnsi="Times New Roman" w:cs="Times New Roman"/>
          <w:color w:val="000000" w:themeColor="text1"/>
        </w:rPr>
        <w:t xml:space="preserve"> regimes only reinforce the observation </w:t>
      </w:r>
      <w:r w:rsidR="00012B95">
        <w:rPr>
          <w:rFonts w:ascii="Times New Roman" w:hAnsi="Times New Roman" w:cs="Times New Roman"/>
          <w:color w:val="000000" w:themeColor="text1"/>
        </w:rPr>
        <w:t xml:space="preserve">that </w:t>
      </w:r>
      <w:r w:rsidRPr="00637861">
        <w:rPr>
          <w:rFonts w:ascii="Times New Roman" w:hAnsi="Times New Roman" w:cs="Times New Roman"/>
          <w:color w:val="000000" w:themeColor="text1"/>
        </w:rPr>
        <w:t>the</w:t>
      </w:r>
      <w:r w:rsidR="00E56DA0">
        <w:rPr>
          <w:rFonts w:ascii="Times New Roman" w:hAnsi="Times New Roman" w:cs="Times New Roman"/>
          <w:color w:val="000000" w:themeColor="text1"/>
        </w:rPr>
        <w:t>y are</w:t>
      </w:r>
      <w:r w:rsidRPr="00637861">
        <w:rPr>
          <w:rFonts w:ascii="Times New Roman" w:hAnsi="Times New Roman" w:cs="Times New Roman"/>
          <w:color w:val="000000" w:themeColor="text1"/>
        </w:rPr>
        <w:t xml:space="preserve"> a key feature of the legal environment shaping sustainable finance</w:t>
      </w:r>
      <w:r w:rsidR="00E56DA0">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and </w:t>
      </w:r>
      <w:r w:rsidR="00E56DA0">
        <w:rPr>
          <w:rFonts w:ascii="Times New Roman" w:hAnsi="Times New Roman" w:cs="Times New Roman"/>
          <w:color w:val="000000" w:themeColor="text1"/>
        </w:rPr>
        <w:t>the</w:t>
      </w:r>
      <w:r w:rsidR="00012B95">
        <w:rPr>
          <w:rFonts w:ascii="Times New Roman" w:hAnsi="Times New Roman" w:cs="Times New Roman"/>
          <w:color w:val="000000" w:themeColor="text1"/>
        </w:rPr>
        <w:t xml:space="preserve">refore </w:t>
      </w:r>
      <w:r w:rsidR="00EC42B3">
        <w:rPr>
          <w:rFonts w:ascii="Times New Roman" w:hAnsi="Times New Roman" w:cs="Times New Roman"/>
          <w:color w:val="000000" w:themeColor="text1"/>
        </w:rPr>
        <w:t>integral part of</w:t>
      </w:r>
      <w:r w:rsidR="00E56DA0">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law</w:t>
      </w:r>
      <w:r w:rsidR="00EC42B3">
        <w:rPr>
          <w:rFonts w:ascii="Times New Roman" w:hAnsi="Times New Roman" w:cs="Times New Roman"/>
          <w:color w:val="000000" w:themeColor="text1"/>
        </w:rPr>
        <w:t xml:space="preserve"> and finance</w:t>
      </w:r>
      <w:r w:rsidRPr="00637861">
        <w:rPr>
          <w:rFonts w:ascii="Times New Roman" w:hAnsi="Times New Roman" w:cs="Times New Roman"/>
          <w:color w:val="000000" w:themeColor="text1"/>
        </w:rPr>
        <w:t>’s co-constitutive dynamics more broadly.</w:t>
      </w:r>
    </w:p>
    <w:p w14:paraId="4DE36B27" w14:textId="77777777" w:rsidR="008B50D1" w:rsidRPr="00637861" w:rsidRDefault="008B50D1" w:rsidP="00071485">
      <w:pPr>
        <w:spacing w:after="120" w:line="360" w:lineRule="auto"/>
        <w:rPr>
          <w:rFonts w:ascii="Times New Roman" w:hAnsi="Times New Roman" w:cs="Times New Roman"/>
          <w:i/>
          <w:iCs/>
          <w:color w:val="000000" w:themeColor="text1"/>
        </w:rPr>
      </w:pPr>
    </w:p>
    <w:p w14:paraId="48BCEED3" w14:textId="2653DCD5" w:rsidR="008B50D1" w:rsidRPr="00637861" w:rsidRDefault="008B50D1" w:rsidP="00F9622D">
      <w:pPr>
        <w:pStyle w:val="Nagwek1"/>
        <w:numPr>
          <w:ilvl w:val="0"/>
          <w:numId w:val="11"/>
        </w:numPr>
        <w:spacing w:before="0" w:after="120" w:line="360" w:lineRule="auto"/>
        <w:jc w:val="both"/>
        <w:rPr>
          <w:rFonts w:ascii="Times New Roman" w:hAnsi="Times New Roman" w:cs="Times New Roman"/>
          <w:b/>
          <w:bCs/>
          <w:color w:val="000000" w:themeColor="text1"/>
          <w:sz w:val="24"/>
          <w:szCs w:val="24"/>
        </w:rPr>
      </w:pPr>
      <w:r w:rsidRPr="00637861">
        <w:rPr>
          <w:rFonts w:ascii="Times New Roman" w:hAnsi="Times New Roman" w:cs="Times New Roman"/>
          <w:b/>
          <w:bCs/>
          <w:color w:val="000000" w:themeColor="text1"/>
          <w:sz w:val="24"/>
          <w:szCs w:val="24"/>
        </w:rPr>
        <w:t>Dynamics of sustainable law and finance co-evolution</w:t>
      </w:r>
    </w:p>
    <w:p w14:paraId="25C73C17" w14:textId="7BEB2FF0"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The analysis of green bond issuances in the EU draws attention to several dynamics related to </w:t>
      </w:r>
      <w:r w:rsidR="00355C13">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co-constitutive role of </w:t>
      </w:r>
      <w:r w:rsidR="00355C13">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law. First</w:t>
      </w:r>
      <w:r w:rsidR="00355C13">
        <w:rPr>
          <w:rFonts w:ascii="Times New Roman" w:hAnsi="Times New Roman" w:cs="Times New Roman"/>
          <w:color w:val="000000" w:themeColor="text1"/>
        </w:rPr>
        <w:t>ly</w:t>
      </w:r>
      <w:r w:rsidRPr="00637861">
        <w:rPr>
          <w:rFonts w:ascii="Times New Roman" w:hAnsi="Times New Roman" w:cs="Times New Roman"/>
          <w:color w:val="000000" w:themeColor="text1"/>
        </w:rPr>
        <w:t xml:space="preserve">, the formal terms of the issue confirm the role of the legal structure in encasing the terms of the risk and reward in finance. The difficulty in integrating sustainability considerations into the formal legal terms highlights how </w:t>
      </w:r>
      <w:r w:rsidR="00355C13">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law serves to encase the perceived trade-offs between sustainability objectives and profit within the prevailing system of capital accumulation. Legal modules such as corporate governance regimes and </w:t>
      </w:r>
      <w:r w:rsidRPr="00637861">
        <w:rPr>
          <w:rFonts w:ascii="Times New Roman" w:hAnsi="Times New Roman" w:cs="Times New Roman"/>
          <w:color w:val="000000" w:themeColor="text1"/>
        </w:rPr>
        <w:lastRenderedPageBreak/>
        <w:t>confidentiality rules serve to insulate finance from broader accountability and enforcement. However, such encasement is not absolute</w:t>
      </w:r>
      <w:r w:rsidR="00355C13">
        <w:rPr>
          <w:rFonts w:ascii="Times New Roman" w:hAnsi="Times New Roman" w:cs="Times New Roman"/>
          <w:color w:val="000000" w:themeColor="text1"/>
        </w:rPr>
        <w:t>,</w:t>
      </w:r>
      <w:r w:rsidR="00355C13"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and indeed </w:t>
      </w:r>
      <w:r w:rsidR="00355C13">
        <w:rPr>
          <w:rFonts w:ascii="Times New Roman" w:hAnsi="Times New Roman" w:cs="Times New Roman"/>
          <w:color w:val="000000" w:themeColor="text1"/>
        </w:rPr>
        <w:t xml:space="preserve">it </w:t>
      </w:r>
      <w:r w:rsidRPr="00637861">
        <w:rPr>
          <w:rFonts w:ascii="Times New Roman" w:hAnsi="Times New Roman" w:cs="Times New Roman"/>
          <w:color w:val="000000" w:themeColor="text1"/>
        </w:rPr>
        <w:t xml:space="preserve">depends on the broader legal system, including that related to investor protection and corporate governance. In addition, the cross-jurisdictional variance </w:t>
      </w:r>
      <w:r w:rsidR="00F9622D">
        <w:rPr>
          <w:rFonts w:ascii="Times New Roman" w:hAnsi="Times New Roman" w:cs="Times New Roman"/>
          <w:color w:val="000000" w:themeColor="text1"/>
        </w:rPr>
        <w:t xml:space="preserve">at play in the prospectuses studied, </w:t>
      </w:r>
      <w:r w:rsidRPr="00637861">
        <w:rPr>
          <w:rFonts w:ascii="Times New Roman" w:hAnsi="Times New Roman" w:cs="Times New Roman"/>
          <w:color w:val="000000" w:themeColor="text1"/>
        </w:rPr>
        <w:t>suggests that legal institutions are highly contingent on the broader political economy, including the relative strength of non-market forms of coordination between market actors.</w:t>
      </w:r>
      <w:r w:rsidRPr="00637861">
        <w:rPr>
          <w:rStyle w:val="Odwoanieprzypisudolnego"/>
          <w:rFonts w:ascii="Times New Roman" w:hAnsi="Times New Roman" w:cs="Times New Roman"/>
          <w:color w:val="000000" w:themeColor="text1"/>
        </w:rPr>
        <w:footnoteReference w:id="102"/>
      </w:r>
      <w:r w:rsidRPr="00637861">
        <w:rPr>
          <w:rFonts w:ascii="Times New Roman" w:hAnsi="Times New Roman" w:cs="Times New Roman"/>
          <w:color w:val="000000" w:themeColor="text1"/>
        </w:rPr>
        <w:t xml:space="preserve"> </w:t>
      </w:r>
      <w:r w:rsidR="007A5B7B">
        <w:rPr>
          <w:rFonts w:ascii="Times New Roman" w:hAnsi="Times New Roman" w:cs="Times New Roman"/>
          <w:color w:val="000000" w:themeColor="text1"/>
        </w:rPr>
        <w:t>At times</w:t>
      </w:r>
      <w:r w:rsidRPr="00637861">
        <w:rPr>
          <w:rFonts w:ascii="Times New Roman" w:hAnsi="Times New Roman" w:cs="Times New Roman"/>
          <w:color w:val="000000" w:themeColor="text1"/>
        </w:rPr>
        <w:t xml:space="preserve"> legal institutions appear to isolate actors through partitioning and waiving responsibility, </w:t>
      </w:r>
      <w:r w:rsidR="00630490">
        <w:rPr>
          <w:rFonts w:ascii="Times New Roman" w:hAnsi="Times New Roman" w:cs="Times New Roman"/>
          <w:color w:val="000000" w:themeColor="text1"/>
        </w:rPr>
        <w:t xml:space="preserve">for example through provisions that entrench the differences in interests and </w:t>
      </w:r>
      <w:r w:rsidR="003677B0">
        <w:rPr>
          <w:rFonts w:ascii="Times New Roman" w:hAnsi="Times New Roman" w:cs="Times New Roman"/>
          <w:color w:val="000000" w:themeColor="text1"/>
        </w:rPr>
        <w:t>undermine mutual responsibility and accountability</w:t>
      </w:r>
      <w:r w:rsidR="00D95EF2">
        <w:rPr>
          <w:rFonts w:ascii="Times New Roman" w:hAnsi="Times New Roman" w:cs="Times New Roman"/>
          <w:color w:val="000000" w:themeColor="text1"/>
        </w:rPr>
        <w:t xml:space="preserve"> for the delivery </w:t>
      </w:r>
      <w:r w:rsidR="00D3686C">
        <w:rPr>
          <w:rFonts w:ascii="Times New Roman" w:hAnsi="Times New Roman" w:cs="Times New Roman"/>
          <w:color w:val="000000" w:themeColor="text1"/>
        </w:rPr>
        <w:t>of environmentally and socially beneficial projects</w:t>
      </w:r>
      <w:r w:rsidR="003677B0">
        <w:rPr>
          <w:rFonts w:ascii="Times New Roman" w:hAnsi="Times New Roman" w:cs="Times New Roman"/>
          <w:color w:val="000000" w:themeColor="text1"/>
        </w:rPr>
        <w:t xml:space="preserve">. </w:t>
      </w:r>
      <w:r w:rsidR="00F64463">
        <w:rPr>
          <w:rFonts w:ascii="Times New Roman" w:hAnsi="Times New Roman" w:cs="Times New Roman"/>
          <w:color w:val="000000" w:themeColor="text1"/>
        </w:rPr>
        <w:t xml:space="preserve">Since these </w:t>
      </w:r>
      <w:r w:rsidR="00046727">
        <w:rPr>
          <w:rFonts w:ascii="Times New Roman" w:hAnsi="Times New Roman" w:cs="Times New Roman"/>
          <w:color w:val="000000" w:themeColor="text1"/>
        </w:rPr>
        <w:t>are key legal institutions related to property and contract law, it appears that</w:t>
      </w:r>
      <w:r w:rsidR="00D3686C">
        <w:rPr>
          <w:rFonts w:ascii="Times New Roman" w:hAnsi="Times New Roman" w:cs="Times New Roman"/>
          <w:color w:val="000000" w:themeColor="text1"/>
        </w:rPr>
        <w:t xml:space="preserve"> </w:t>
      </w:r>
      <w:r w:rsidR="00046727">
        <w:rPr>
          <w:rFonts w:ascii="Times New Roman" w:hAnsi="Times New Roman" w:cs="Times New Roman"/>
          <w:color w:val="000000" w:themeColor="text1"/>
        </w:rPr>
        <w:t>t</w:t>
      </w:r>
      <w:r w:rsidRPr="00637861">
        <w:rPr>
          <w:rFonts w:ascii="Times New Roman" w:hAnsi="Times New Roman" w:cs="Times New Roman"/>
          <w:color w:val="000000" w:themeColor="text1"/>
        </w:rPr>
        <w:t xml:space="preserve">he same features </w:t>
      </w:r>
      <w:r w:rsidR="00355C13">
        <w:rPr>
          <w:rFonts w:ascii="Times New Roman" w:hAnsi="Times New Roman" w:cs="Times New Roman"/>
          <w:color w:val="000000" w:themeColor="text1"/>
        </w:rPr>
        <w:t>which</w:t>
      </w:r>
      <w:r w:rsidR="00355C13"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give </w:t>
      </w:r>
      <w:r w:rsidR="00CB5F2D">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law its constitutive function </w:t>
      </w:r>
      <w:r w:rsidR="00046727">
        <w:rPr>
          <w:rFonts w:ascii="Times New Roman" w:hAnsi="Times New Roman" w:cs="Times New Roman"/>
          <w:color w:val="000000" w:themeColor="text1"/>
        </w:rPr>
        <w:t>may</w:t>
      </w:r>
      <w:r w:rsidRPr="00637861">
        <w:rPr>
          <w:rFonts w:ascii="Times New Roman" w:hAnsi="Times New Roman" w:cs="Times New Roman"/>
          <w:color w:val="000000" w:themeColor="text1"/>
        </w:rPr>
        <w:t xml:space="preserve"> preclude its role in supporting the collaboration that the sustainability transition requires</w:t>
      </w:r>
      <w:r w:rsidR="00046727">
        <w:rPr>
          <w:rFonts w:ascii="Times New Roman" w:hAnsi="Times New Roman" w:cs="Times New Roman"/>
          <w:color w:val="000000" w:themeColor="text1"/>
        </w:rPr>
        <w:t>, unless they are reformulated in collaborative, rather than fragmenting, terms.</w:t>
      </w:r>
      <w:r w:rsidR="00046727">
        <w:rPr>
          <w:rStyle w:val="Odwoanieprzypisudolnego"/>
          <w:rFonts w:ascii="Times New Roman" w:hAnsi="Times New Roman" w:cs="Times New Roman"/>
          <w:color w:val="000000" w:themeColor="text1"/>
        </w:rPr>
        <w:footnoteReference w:id="103"/>
      </w:r>
      <w:r w:rsidR="00046727">
        <w:rPr>
          <w:rFonts w:ascii="Times New Roman" w:hAnsi="Times New Roman" w:cs="Times New Roman"/>
          <w:color w:val="000000" w:themeColor="text1"/>
        </w:rPr>
        <w:t xml:space="preserve"> </w:t>
      </w:r>
    </w:p>
    <w:p w14:paraId="5C868F63" w14:textId="71B19BEA"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Expanding the analysis beyond the formal terms of green bonds to the different aspects of the legal environment across the lifecycle of the debt instrument provides further insight into the law’s constitutive role</w:t>
      </w:r>
      <w:r w:rsidR="00355C13">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in particular via differentiat</w:t>
      </w:r>
      <w:r w:rsidR="00355C13">
        <w:rPr>
          <w:rFonts w:ascii="Times New Roman" w:hAnsi="Times New Roman" w:cs="Times New Roman"/>
          <w:color w:val="000000" w:themeColor="text1"/>
        </w:rPr>
        <w:t>i</w:t>
      </w:r>
      <w:r w:rsidR="00B25745">
        <w:rPr>
          <w:rFonts w:ascii="Times New Roman" w:hAnsi="Times New Roman" w:cs="Times New Roman"/>
          <w:color w:val="000000" w:themeColor="text1"/>
        </w:rPr>
        <w:t>on</w:t>
      </w:r>
      <w:r w:rsidRPr="00637861">
        <w:rPr>
          <w:rFonts w:ascii="Times New Roman" w:hAnsi="Times New Roman" w:cs="Times New Roman"/>
          <w:color w:val="000000" w:themeColor="text1"/>
        </w:rPr>
        <w:t xml:space="preserve"> from ‘traditional’ finance and expan</w:t>
      </w:r>
      <w:r w:rsidR="00B25745">
        <w:rPr>
          <w:rFonts w:ascii="Times New Roman" w:hAnsi="Times New Roman" w:cs="Times New Roman"/>
          <w:color w:val="000000" w:themeColor="text1"/>
        </w:rPr>
        <w:t xml:space="preserve">sion of the </w:t>
      </w:r>
      <w:r w:rsidRPr="00637861">
        <w:rPr>
          <w:rFonts w:ascii="Times New Roman" w:hAnsi="Times New Roman" w:cs="Times New Roman"/>
          <w:color w:val="000000" w:themeColor="text1"/>
        </w:rPr>
        <w:t>existing categories. Expansion here relates to the ways in which existing legal notions are stretched to include sustainability considerations, even if this implies tensions within the existing capital coding. Differentiation relates to the ways in which the legal environment supports the emergence of new roles and processes</w:t>
      </w:r>
      <w:r w:rsidR="00355C13">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leading to accentuating the distinct properties of sustainable finance as compared to ‘traditional’ finance. Expansion involves the stretching of existing concepts, processes and definition to include sustainability considerations, even where this entails tensions and internal inconsistencies. Differentiation involves new concepts, processes and </w:t>
      </w:r>
      <w:r w:rsidR="00355C13" w:rsidRPr="00637861">
        <w:rPr>
          <w:rFonts w:ascii="Times New Roman" w:hAnsi="Times New Roman" w:cs="Times New Roman"/>
          <w:color w:val="000000" w:themeColor="text1"/>
        </w:rPr>
        <w:t>definition</w:t>
      </w:r>
      <w:r w:rsidR="00355C13">
        <w:rPr>
          <w:rFonts w:ascii="Times New Roman" w:hAnsi="Times New Roman" w:cs="Times New Roman"/>
          <w:color w:val="000000" w:themeColor="text1"/>
        </w:rPr>
        <w:t>s</w:t>
      </w:r>
      <w:r w:rsidRPr="00637861">
        <w:rPr>
          <w:rFonts w:ascii="Times New Roman" w:hAnsi="Times New Roman" w:cs="Times New Roman"/>
          <w:color w:val="000000" w:themeColor="text1"/>
        </w:rPr>
        <w:t>. Both aspects are revealing of co-constitutive dynamics of law and finance</w:t>
      </w:r>
      <w:r w:rsidR="00355C13">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leading to different outcomes for sustainable and non-sustainable financial instruments in th</w:t>
      </w:r>
      <w:r w:rsidR="00355C13">
        <w:rPr>
          <w:rFonts w:ascii="Times New Roman" w:hAnsi="Times New Roman" w:cs="Times New Roman"/>
          <w:color w:val="000000" w:themeColor="text1"/>
        </w:rPr>
        <w:t>is</w:t>
      </w:r>
      <w:r w:rsidRPr="00637861">
        <w:rPr>
          <w:rFonts w:ascii="Times New Roman" w:hAnsi="Times New Roman" w:cs="Times New Roman"/>
          <w:color w:val="000000" w:themeColor="text1"/>
        </w:rPr>
        <w:t xml:space="preserve"> context (see Table 3).</w:t>
      </w:r>
      <w:r w:rsidR="00A10087">
        <w:rPr>
          <w:rFonts w:ascii="Times New Roman" w:hAnsi="Times New Roman" w:cs="Times New Roman"/>
          <w:color w:val="000000" w:themeColor="text1"/>
        </w:rPr>
        <w:t xml:space="preserve"> </w:t>
      </w:r>
      <w:r w:rsidR="00A10087" w:rsidRPr="00637861">
        <w:rPr>
          <w:rFonts w:ascii="Times New Roman" w:hAnsi="Times New Roman" w:cs="Times New Roman"/>
          <w:color w:val="000000" w:themeColor="text1"/>
        </w:rPr>
        <w:t>Such expansion and differentiation are identified in the following ways in relation to the different aspects of the legal environment.</w:t>
      </w:r>
    </w:p>
    <w:p w14:paraId="230E8CF0" w14:textId="230BCA81"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lastRenderedPageBreak/>
        <w:t>As regards the expansion dynamics, these are most clear in the context of the regulatory and constitutive aspects of the legal environment. Existing concepts, such as the use of proceeds or sanctioning mechanisms, may be expanded to incorporate sustainab</w:t>
      </w:r>
      <w:r w:rsidR="009F215F" w:rsidRPr="00637861">
        <w:rPr>
          <w:rFonts w:ascii="Times New Roman" w:hAnsi="Times New Roman" w:cs="Times New Roman"/>
          <w:color w:val="000000" w:themeColor="text1"/>
        </w:rPr>
        <w:t>ility</w:t>
      </w:r>
      <w:r w:rsidRPr="00637861">
        <w:rPr>
          <w:rFonts w:ascii="Times New Roman" w:hAnsi="Times New Roman" w:cs="Times New Roman"/>
          <w:color w:val="000000" w:themeColor="text1"/>
        </w:rPr>
        <w:t xml:space="preserve"> objectives, even where this </w:t>
      </w:r>
      <w:r w:rsidR="00355C13">
        <w:rPr>
          <w:rFonts w:ascii="Times New Roman" w:hAnsi="Times New Roman" w:cs="Times New Roman"/>
          <w:color w:val="000000" w:themeColor="text1"/>
        </w:rPr>
        <w:t>introduces</w:t>
      </w:r>
      <w:r w:rsidR="00355C13"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tension with the prevailing </w:t>
      </w:r>
      <w:r w:rsidR="00355C13" w:rsidRPr="00637861">
        <w:rPr>
          <w:rFonts w:ascii="Times New Roman" w:hAnsi="Times New Roman" w:cs="Times New Roman"/>
          <w:color w:val="000000" w:themeColor="text1"/>
        </w:rPr>
        <w:t>accumulation</w:t>
      </w:r>
      <w:r w:rsidR="00355C13">
        <w:rPr>
          <w:rFonts w:ascii="Times New Roman" w:hAnsi="Times New Roman" w:cs="Times New Roman"/>
          <w:color w:val="000000" w:themeColor="text1"/>
        </w:rPr>
        <w:t>-</w:t>
      </w:r>
      <w:r w:rsidRPr="00637861">
        <w:rPr>
          <w:rFonts w:ascii="Times New Roman" w:hAnsi="Times New Roman" w:cs="Times New Roman"/>
          <w:color w:val="000000" w:themeColor="text1"/>
        </w:rPr>
        <w:t>oriented legal coding. There is nothing inherent in the legal coding of finance that precludes the financing instruments to have a purpose ‘other than profit</w:t>
      </w:r>
      <w:r w:rsidR="00355C13">
        <w:rPr>
          <w:rFonts w:ascii="Times New Roman" w:hAnsi="Times New Roman" w:cs="Times New Roman"/>
          <w:color w:val="000000" w:themeColor="text1"/>
        </w:rPr>
        <w:t>’</w:t>
      </w:r>
      <w:r w:rsidRPr="00637861">
        <w:rPr>
          <w:rFonts w:ascii="Times New Roman" w:hAnsi="Times New Roman" w:cs="Times New Roman"/>
          <w:color w:val="000000" w:themeColor="text1"/>
        </w:rPr>
        <w:t>.</w:t>
      </w:r>
      <w:r w:rsidRPr="00637861">
        <w:rPr>
          <w:rStyle w:val="Odwoanieprzypisudolnego"/>
          <w:rFonts w:ascii="Times New Roman" w:hAnsi="Times New Roman" w:cs="Times New Roman"/>
          <w:color w:val="000000" w:themeColor="text1"/>
        </w:rPr>
        <w:footnoteReference w:id="104"/>
      </w:r>
      <w:r w:rsidRPr="00637861">
        <w:rPr>
          <w:rFonts w:ascii="Times New Roman" w:hAnsi="Times New Roman" w:cs="Times New Roman"/>
          <w:color w:val="000000" w:themeColor="text1"/>
        </w:rPr>
        <w:t xml:space="preserve"> At the same time, prospectuses may draw on safe harbour provisions to erect complex waiver fortifications</w:t>
      </w:r>
      <w:r w:rsidR="00355C13">
        <w:rPr>
          <w:rFonts w:ascii="Times New Roman" w:hAnsi="Times New Roman" w:cs="Times New Roman"/>
          <w:color w:val="000000" w:themeColor="text1"/>
        </w:rPr>
        <w:t xml:space="preserve"> –</w:t>
      </w:r>
      <w:r w:rsidR="008E00E3">
        <w:rPr>
          <w:rFonts w:ascii="Times New Roman" w:hAnsi="Times New Roman" w:cs="Times New Roman"/>
          <w:color w:val="000000" w:themeColor="text1"/>
        </w:rPr>
        <w:t xml:space="preserve"> </w:t>
      </w:r>
      <w:r w:rsidR="00355C13">
        <w:rPr>
          <w:rFonts w:ascii="Times New Roman" w:hAnsi="Times New Roman" w:cs="Times New Roman"/>
          <w:color w:val="000000" w:themeColor="text1"/>
        </w:rPr>
        <w:t xml:space="preserve">though </w:t>
      </w:r>
      <w:r w:rsidRPr="00637861">
        <w:rPr>
          <w:rFonts w:ascii="Times New Roman" w:hAnsi="Times New Roman" w:cs="Times New Roman"/>
          <w:color w:val="000000" w:themeColor="text1"/>
        </w:rPr>
        <w:t>these may actually increase, rather than diminish, market participants’ expectations over time. The co-constitutive role of law here is revealed through the tension between regulatory aspects and the potential for such tensions to be resolved through non-legal means.</w:t>
      </w:r>
    </w:p>
    <w:p w14:paraId="4B97C888" w14:textId="267B4EDC" w:rsidR="008B50D1" w:rsidRPr="00637861" w:rsidRDefault="009E0C5B" w:rsidP="00DF6052">
      <w:pPr>
        <w:spacing w:after="12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T</w:t>
      </w:r>
      <w:r w:rsidR="008B50D1" w:rsidRPr="00637861">
        <w:rPr>
          <w:rFonts w:ascii="Times New Roman" w:hAnsi="Times New Roman" w:cs="Times New Roman"/>
          <w:color w:val="000000" w:themeColor="text1"/>
        </w:rPr>
        <w:t>he differentiation dynamics</w:t>
      </w:r>
      <w:r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 xml:space="preserve">emerge first and foremost in the context of the dedicated standards regulating the key features of green bonds, such as </w:t>
      </w:r>
      <w:r>
        <w:rPr>
          <w:rFonts w:ascii="Times New Roman" w:hAnsi="Times New Roman" w:cs="Times New Roman"/>
          <w:color w:val="000000" w:themeColor="text1"/>
        </w:rPr>
        <w:t>a</w:t>
      </w:r>
      <w:r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 xml:space="preserve">GBF, reporting obligations or external verification. </w:t>
      </w:r>
      <w:r w:rsidR="00826CEB">
        <w:rPr>
          <w:rFonts w:ascii="Times New Roman" w:hAnsi="Times New Roman" w:cs="Times New Roman"/>
          <w:color w:val="000000" w:themeColor="text1"/>
        </w:rPr>
        <w:t>Further</w:t>
      </w:r>
      <w:r w:rsidR="008B50D1" w:rsidRPr="00637861">
        <w:rPr>
          <w:rFonts w:ascii="Times New Roman" w:hAnsi="Times New Roman" w:cs="Times New Roman"/>
          <w:color w:val="000000" w:themeColor="text1"/>
        </w:rPr>
        <w:t>, secondary market entry rules are likewise identified as key to regulating behaviour and subsequently feeding back into the legal terms of the issuances. Where such practices operate as well as a vehicle for sanctioning behaviour</w:t>
      </w:r>
      <w:r>
        <w:rPr>
          <w:rFonts w:ascii="Times New Roman" w:hAnsi="Times New Roman" w:cs="Times New Roman"/>
          <w:color w:val="000000" w:themeColor="text1"/>
        </w:rPr>
        <w:t>,</w:t>
      </w:r>
      <w:r w:rsidR="008B50D1" w:rsidRPr="00637861">
        <w:rPr>
          <w:rStyle w:val="Odwoanieprzypisudolnego"/>
          <w:rFonts w:ascii="Times New Roman" w:hAnsi="Times New Roman" w:cs="Times New Roman"/>
          <w:color w:val="000000" w:themeColor="text1"/>
        </w:rPr>
        <w:footnoteReference w:id="105"/>
      </w:r>
      <w:r w:rsidR="008B50D1" w:rsidRPr="00637861">
        <w:rPr>
          <w:rFonts w:ascii="Times New Roman" w:hAnsi="Times New Roman" w:cs="Times New Roman"/>
          <w:color w:val="000000" w:themeColor="text1"/>
        </w:rPr>
        <w:t xml:space="preserve"> the different aspects of the legal environment are interwoven. These features further shape the facilitative environment</w:t>
      </w:r>
      <w:r>
        <w:rPr>
          <w:rFonts w:ascii="Times New Roman" w:hAnsi="Times New Roman" w:cs="Times New Roman"/>
          <w:color w:val="000000" w:themeColor="text1"/>
        </w:rPr>
        <w:t>,</w:t>
      </w:r>
      <w:r w:rsidR="008B50D1" w:rsidRPr="00637861">
        <w:rPr>
          <w:rFonts w:ascii="Times New Roman" w:hAnsi="Times New Roman" w:cs="Times New Roman"/>
          <w:color w:val="000000" w:themeColor="text1"/>
        </w:rPr>
        <w:t xml:space="preserve"> and more broadly coordination between market actors, </w:t>
      </w:r>
      <w:r>
        <w:rPr>
          <w:rFonts w:ascii="Times New Roman" w:hAnsi="Times New Roman" w:cs="Times New Roman"/>
          <w:color w:val="000000" w:themeColor="text1"/>
        </w:rPr>
        <w:t>which</w:t>
      </w:r>
      <w:r w:rsidRPr="00637861">
        <w:rPr>
          <w:rFonts w:ascii="Times New Roman" w:hAnsi="Times New Roman" w:cs="Times New Roman"/>
          <w:color w:val="000000" w:themeColor="text1"/>
        </w:rPr>
        <w:t xml:space="preserve"> </w:t>
      </w:r>
      <w:r w:rsidR="008B50D1" w:rsidRPr="00637861">
        <w:rPr>
          <w:rFonts w:ascii="Times New Roman" w:hAnsi="Times New Roman" w:cs="Times New Roman"/>
          <w:color w:val="000000" w:themeColor="text1"/>
        </w:rPr>
        <w:t xml:space="preserve">have more fundamental impacts. </w:t>
      </w:r>
      <w:r>
        <w:rPr>
          <w:rFonts w:ascii="Times New Roman" w:hAnsi="Times New Roman" w:cs="Times New Roman"/>
          <w:color w:val="000000" w:themeColor="text1"/>
        </w:rPr>
        <w:t>The l</w:t>
      </w:r>
      <w:r w:rsidRPr="00637861">
        <w:rPr>
          <w:rFonts w:ascii="Times New Roman" w:hAnsi="Times New Roman" w:cs="Times New Roman"/>
          <w:color w:val="000000" w:themeColor="text1"/>
        </w:rPr>
        <w:t xml:space="preserve">aw </w:t>
      </w:r>
      <w:r w:rsidR="008B50D1" w:rsidRPr="00637861">
        <w:rPr>
          <w:rFonts w:ascii="Times New Roman" w:hAnsi="Times New Roman" w:cs="Times New Roman"/>
          <w:color w:val="000000" w:themeColor="text1"/>
        </w:rPr>
        <w:t>plays</w:t>
      </w:r>
      <w:r w:rsidR="009F215F" w:rsidRPr="00637861">
        <w:rPr>
          <w:rFonts w:ascii="Times New Roman" w:hAnsi="Times New Roman" w:cs="Times New Roman"/>
          <w:color w:val="000000" w:themeColor="text1"/>
        </w:rPr>
        <w:t xml:space="preserve"> a co-constitutive </w:t>
      </w:r>
      <w:r w:rsidRPr="00637861">
        <w:rPr>
          <w:rFonts w:ascii="Times New Roman" w:hAnsi="Times New Roman" w:cs="Times New Roman"/>
          <w:color w:val="000000" w:themeColor="text1"/>
        </w:rPr>
        <w:t>r</w:t>
      </w:r>
      <w:r>
        <w:rPr>
          <w:rFonts w:ascii="Times New Roman" w:hAnsi="Times New Roman" w:cs="Times New Roman"/>
          <w:color w:val="000000" w:themeColor="text1"/>
        </w:rPr>
        <w:t>o</w:t>
      </w:r>
      <w:r w:rsidRPr="00637861">
        <w:rPr>
          <w:rFonts w:ascii="Times New Roman" w:hAnsi="Times New Roman" w:cs="Times New Roman"/>
          <w:color w:val="000000" w:themeColor="text1"/>
        </w:rPr>
        <w:t xml:space="preserve">le </w:t>
      </w:r>
      <w:r w:rsidR="008B50D1" w:rsidRPr="00637861">
        <w:rPr>
          <w:rFonts w:ascii="Times New Roman" w:hAnsi="Times New Roman" w:cs="Times New Roman"/>
          <w:color w:val="000000" w:themeColor="text1"/>
        </w:rPr>
        <w:t xml:space="preserve">in preconfiguring financial transactions not only at </w:t>
      </w:r>
      <w:r>
        <w:rPr>
          <w:rFonts w:ascii="Times New Roman" w:hAnsi="Times New Roman" w:cs="Times New Roman"/>
          <w:color w:val="000000" w:themeColor="text1"/>
        </w:rPr>
        <w:t xml:space="preserve">the </w:t>
      </w:r>
      <w:r w:rsidR="008B50D1" w:rsidRPr="00637861">
        <w:rPr>
          <w:rFonts w:ascii="Times New Roman" w:hAnsi="Times New Roman" w:cs="Times New Roman"/>
          <w:color w:val="000000" w:themeColor="text1"/>
        </w:rPr>
        <w:t xml:space="preserve">micro-level, but </w:t>
      </w:r>
      <w:r>
        <w:rPr>
          <w:rFonts w:ascii="Times New Roman" w:hAnsi="Times New Roman" w:cs="Times New Roman"/>
          <w:color w:val="000000" w:themeColor="text1"/>
        </w:rPr>
        <w:t>also</w:t>
      </w:r>
      <w:r w:rsidR="008B50D1" w:rsidRPr="00637861">
        <w:rPr>
          <w:rFonts w:ascii="Times New Roman" w:hAnsi="Times New Roman" w:cs="Times New Roman"/>
          <w:color w:val="000000" w:themeColor="text1"/>
        </w:rPr>
        <w:t xml:space="preserve"> </w:t>
      </w:r>
      <w:r w:rsidR="009F215F" w:rsidRPr="00637861">
        <w:rPr>
          <w:rFonts w:ascii="Times New Roman" w:hAnsi="Times New Roman" w:cs="Times New Roman"/>
          <w:color w:val="000000" w:themeColor="text1"/>
        </w:rPr>
        <w:t xml:space="preserve">via </w:t>
      </w:r>
      <w:r w:rsidR="008B50D1" w:rsidRPr="00637861">
        <w:rPr>
          <w:rFonts w:ascii="Times New Roman" w:hAnsi="Times New Roman" w:cs="Times New Roman"/>
          <w:color w:val="000000" w:themeColor="text1"/>
        </w:rPr>
        <w:t xml:space="preserve">the new forms of emerging meso-structures of market monitoring and regulatory intermediation. Furthermore, the differentiating practices of supervisory and monetary authorities are critical in constitutive terms. On the central banking side, </w:t>
      </w:r>
      <w:r>
        <w:rPr>
          <w:rFonts w:ascii="Times New Roman" w:hAnsi="Times New Roman" w:cs="Times New Roman"/>
          <w:color w:val="000000" w:themeColor="text1"/>
        </w:rPr>
        <w:t>(un)</w:t>
      </w:r>
      <w:r w:rsidR="008B50D1" w:rsidRPr="00637861">
        <w:rPr>
          <w:rFonts w:ascii="Times New Roman" w:hAnsi="Times New Roman" w:cs="Times New Roman"/>
          <w:color w:val="000000" w:themeColor="text1"/>
        </w:rPr>
        <w:t xml:space="preserve">favourable treatment may entail </w:t>
      </w:r>
      <w:r>
        <w:rPr>
          <w:rFonts w:ascii="Times New Roman" w:hAnsi="Times New Roman" w:cs="Times New Roman"/>
          <w:color w:val="000000" w:themeColor="text1"/>
        </w:rPr>
        <w:t xml:space="preserve">the </w:t>
      </w:r>
      <w:r w:rsidR="008B50D1" w:rsidRPr="00637861">
        <w:rPr>
          <w:rFonts w:ascii="Times New Roman" w:hAnsi="Times New Roman" w:cs="Times New Roman"/>
          <w:color w:val="000000" w:themeColor="text1"/>
        </w:rPr>
        <w:t>special inclusion of green assets in collateral</w:t>
      </w:r>
      <w:r w:rsidR="009F215F" w:rsidRPr="00637861">
        <w:rPr>
          <w:rFonts w:ascii="Times New Roman" w:hAnsi="Times New Roman" w:cs="Times New Roman"/>
          <w:color w:val="000000" w:themeColor="text1"/>
        </w:rPr>
        <w:t xml:space="preserve"> or </w:t>
      </w:r>
      <w:r w:rsidRPr="00637861">
        <w:rPr>
          <w:rFonts w:ascii="Times New Roman" w:hAnsi="Times New Roman" w:cs="Times New Roman"/>
          <w:color w:val="000000" w:themeColor="text1"/>
        </w:rPr>
        <w:t>asset</w:t>
      </w:r>
      <w:r>
        <w:rPr>
          <w:rFonts w:ascii="Times New Roman" w:hAnsi="Times New Roman" w:cs="Times New Roman"/>
          <w:color w:val="000000" w:themeColor="text1"/>
        </w:rPr>
        <w:t>-</w:t>
      </w:r>
      <w:r w:rsidR="008B50D1" w:rsidRPr="00637861">
        <w:rPr>
          <w:rFonts w:ascii="Times New Roman" w:hAnsi="Times New Roman" w:cs="Times New Roman"/>
          <w:color w:val="000000" w:themeColor="text1"/>
        </w:rPr>
        <w:t>purchasing frameworks. On the prudential side, in addition to prioritis</w:t>
      </w:r>
      <w:r>
        <w:rPr>
          <w:rFonts w:ascii="Times New Roman" w:hAnsi="Times New Roman" w:cs="Times New Roman"/>
          <w:color w:val="000000" w:themeColor="text1"/>
        </w:rPr>
        <w:t>ing</w:t>
      </w:r>
      <w:r w:rsidR="008B50D1" w:rsidRPr="00637861">
        <w:rPr>
          <w:rFonts w:ascii="Times New Roman" w:hAnsi="Times New Roman" w:cs="Times New Roman"/>
          <w:color w:val="000000" w:themeColor="text1"/>
        </w:rPr>
        <w:t xml:space="preserve"> climate and environmental risks, supervisors may opt for favourable treatment of green assets for the purposes of risk management </w:t>
      </w:r>
      <w:r w:rsidR="009F215F" w:rsidRPr="00637861">
        <w:rPr>
          <w:rFonts w:ascii="Times New Roman" w:hAnsi="Times New Roman" w:cs="Times New Roman"/>
          <w:color w:val="000000" w:themeColor="text1"/>
        </w:rPr>
        <w:t xml:space="preserve">in </w:t>
      </w:r>
      <w:r w:rsidR="008B50D1" w:rsidRPr="00637861">
        <w:rPr>
          <w:rFonts w:ascii="Times New Roman" w:hAnsi="Times New Roman" w:cs="Times New Roman"/>
          <w:color w:val="000000" w:themeColor="text1"/>
        </w:rPr>
        <w:t>prudential regulation.</w:t>
      </w:r>
      <w:r w:rsidR="008B50D1" w:rsidRPr="00637861">
        <w:rPr>
          <w:rStyle w:val="Odwoanieprzypisudolnego"/>
          <w:rFonts w:ascii="Times New Roman" w:hAnsi="Times New Roman" w:cs="Times New Roman"/>
          <w:color w:val="000000" w:themeColor="text1"/>
        </w:rPr>
        <w:footnoteReference w:id="106"/>
      </w:r>
    </w:p>
    <w:p w14:paraId="541BDA6F" w14:textId="77777777" w:rsidR="008B50D1" w:rsidRPr="00637861" w:rsidRDefault="008B50D1" w:rsidP="00A05A67">
      <w:pPr>
        <w:spacing w:after="120" w:line="360" w:lineRule="auto"/>
        <w:jc w:val="both"/>
        <w:rPr>
          <w:rFonts w:ascii="Times New Roman" w:hAnsi="Times New Roman" w:cs="Times New Roman"/>
          <w:color w:val="000000" w:themeColor="text1"/>
        </w:rPr>
      </w:pPr>
    </w:p>
    <w:tbl>
      <w:tblPr>
        <w:tblStyle w:val="Tabela-Siatka"/>
        <w:tblW w:w="8848" w:type="dxa"/>
        <w:tblLook w:val="04A0" w:firstRow="1" w:lastRow="0" w:firstColumn="1" w:lastColumn="0" w:noHBand="0" w:noVBand="1"/>
      </w:tblPr>
      <w:tblGrid>
        <w:gridCol w:w="1031"/>
        <w:gridCol w:w="3573"/>
        <w:gridCol w:w="4244"/>
      </w:tblGrid>
      <w:tr w:rsidR="008B50D1" w:rsidRPr="00637861" w14:paraId="2CA5A2F9" w14:textId="77777777" w:rsidTr="009F215F">
        <w:trPr>
          <w:trHeight w:val="233"/>
        </w:trPr>
        <w:tc>
          <w:tcPr>
            <w:tcW w:w="0" w:type="auto"/>
          </w:tcPr>
          <w:p w14:paraId="57BA3764" w14:textId="77777777" w:rsidR="008B50D1" w:rsidRPr="00637861" w:rsidRDefault="008B50D1" w:rsidP="009F215F">
            <w:pPr>
              <w:jc w:val="both"/>
              <w:rPr>
                <w:rFonts w:ascii="Times New Roman" w:hAnsi="Times New Roman" w:cs="Times New Roman"/>
                <w:color w:val="000000" w:themeColor="text1"/>
                <w:sz w:val="16"/>
                <w:szCs w:val="16"/>
              </w:rPr>
            </w:pPr>
          </w:p>
        </w:tc>
        <w:tc>
          <w:tcPr>
            <w:tcW w:w="3573" w:type="dxa"/>
          </w:tcPr>
          <w:p w14:paraId="1DEBD4B1" w14:textId="72748053" w:rsidR="008B50D1" w:rsidRPr="00637861" w:rsidRDefault="009E0C5B" w:rsidP="009F215F">
            <w:pPr>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E</w:t>
            </w:r>
            <w:r w:rsidRPr="00637861">
              <w:rPr>
                <w:rFonts w:ascii="Times New Roman" w:hAnsi="Times New Roman" w:cs="Times New Roman"/>
                <w:color w:val="000000" w:themeColor="text1"/>
                <w:sz w:val="16"/>
                <w:szCs w:val="16"/>
              </w:rPr>
              <w:t>xpansion</w:t>
            </w:r>
          </w:p>
        </w:tc>
        <w:tc>
          <w:tcPr>
            <w:tcW w:w="4244" w:type="dxa"/>
          </w:tcPr>
          <w:p w14:paraId="7B4B4A36" w14:textId="7A6BE4BD" w:rsidR="008B50D1" w:rsidRPr="00637861" w:rsidRDefault="009E0C5B" w:rsidP="009F215F">
            <w:pPr>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D</w:t>
            </w:r>
            <w:r w:rsidRPr="00637861">
              <w:rPr>
                <w:rFonts w:ascii="Times New Roman" w:hAnsi="Times New Roman" w:cs="Times New Roman"/>
                <w:color w:val="000000" w:themeColor="text1"/>
                <w:sz w:val="16"/>
                <w:szCs w:val="16"/>
              </w:rPr>
              <w:t>ifferentiation</w:t>
            </w:r>
          </w:p>
        </w:tc>
      </w:tr>
      <w:tr w:rsidR="008B50D1" w:rsidRPr="00637861" w14:paraId="1DD6C8F8" w14:textId="77777777" w:rsidTr="009F215F">
        <w:trPr>
          <w:trHeight w:val="526"/>
        </w:trPr>
        <w:tc>
          <w:tcPr>
            <w:tcW w:w="0" w:type="auto"/>
          </w:tcPr>
          <w:p w14:paraId="6969EA25" w14:textId="183318C7" w:rsidR="008B50D1" w:rsidRPr="00637861" w:rsidRDefault="009E0C5B" w:rsidP="009F215F">
            <w:pPr>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lastRenderedPageBreak/>
              <w:t>F</w:t>
            </w:r>
            <w:r w:rsidRPr="00637861">
              <w:rPr>
                <w:rFonts w:ascii="Times New Roman" w:hAnsi="Times New Roman" w:cs="Times New Roman"/>
                <w:color w:val="000000" w:themeColor="text1"/>
                <w:sz w:val="16"/>
                <w:szCs w:val="16"/>
              </w:rPr>
              <w:t>acilitative</w:t>
            </w:r>
          </w:p>
        </w:tc>
        <w:tc>
          <w:tcPr>
            <w:tcW w:w="3573" w:type="dxa"/>
          </w:tcPr>
          <w:p w14:paraId="1F48766B" w14:textId="6DECA44C"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‘sustainable’ roles in financing relationships</w:t>
            </w:r>
            <w:r w:rsidR="00A7303C">
              <w:rPr>
                <w:rFonts w:ascii="Times New Roman" w:hAnsi="Times New Roman" w:cs="Times New Roman"/>
                <w:color w:val="000000" w:themeColor="text1"/>
                <w:sz w:val="16"/>
                <w:szCs w:val="16"/>
              </w:rPr>
              <w:t xml:space="preserve"> (e.g. ‘coordinators’ in syndicated transactions)</w:t>
            </w:r>
          </w:p>
        </w:tc>
        <w:tc>
          <w:tcPr>
            <w:tcW w:w="4244" w:type="dxa"/>
          </w:tcPr>
          <w:p w14:paraId="39F3ACB4" w14:textId="2E5BA1E8" w:rsidR="008B50D1" w:rsidRPr="00637861" w:rsidRDefault="009F215F"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e</w:t>
            </w:r>
            <w:r w:rsidR="008B50D1" w:rsidRPr="00637861">
              <w:rPr>
                <w:rFonts w:ascii="Times New Roman" w:hAnsi="Times New Roman" w:cs="Times New Roman"/>
                <w:color w:val="000000" w:themeColor="text1"/>
                <w:sz w:val="16"/>
                <w:szCs w:val="16"/>
              </w:rPr>
              <w:t>xternal verifiers</w:t>
            </w:r>
            <w:r w:rsidR="009E0C5B">
              <w:rPr>
                <w:rFonts w:ascii="Times New Roman" w:hAnsi="Times New Roman" w:cs="Times New Roman"/>
                <w:color w:val="000000" w:themeColor="text1"/>
                <w:sz w:val="16"/>
                <w:szCs w:val="16"/>
              </w:rPr>
              <w:t xml:space="preserve"> and</w:t>
            </w:r>
            <w:r w:rsidR="008B50D1" w:rsidRPr="00637861">
              <w:rPr>
                <w:rFonts w:ascii="Times New Roman" w:hAnsi="Times New Roman" w:cs="Times New Roman"/>
                <w:color w:val="000000" w:themeColor="text1"/>
                <w:sz w:val="16"/>
                <w:szCs w:val="16"/>
              </w:rPr>
              <w:t xml:space="preserve"> verification processes</w:t>
            </w:r>
          </w:p>
        </w:tc>
      </w:tr>
      <w:tr w:rsidR="008B50D1" w:rsidRPr="00637861" w14:paraId="0B0DCBDF" w14:textId="77777777" w:rsidTr="009F215F">
        <w:trPr>
          <w:trHeight w:val="395"/>
        </w:trPr>
        <w:tc>
          <w:tcPr>
            <w:tcW w:w="0" w:type="auto"/>
          </w:tcPr>
          <w:p w14:paraId="53E88904" w14:textId="6DDF55D1" w:rsidR="008B50D1" w:rsidRPr="00637861" w:rsidRDefault="009E0C5B" w:rsidP="009F215F">
            <w:pPr>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R</w:t>
            </w:r>
            <w:r w:rsidRPr="00637861">
              <w:rPr>
                <w:rFonts w:ascii="Times New Roman" w:hAnsi="Times New Roman" w:cs="Times New Roman"/>
                <w:color w:val="000000" w:themeColor="text1"/>
                <w:sz w:val="16"/>
                <w:szCs w:val="16"/>
              </w:rPr>
              <w:t>egulatory</w:t>
            </w:r>
          </w:p>
        </w:tc>
        <w:tc>
          <w:tcPr>
            <w:tcW w:w="3573" w:type="dxa"/>
          </w:tcPr>
          <w:p w14:paraId="1ADD3DC4" w14:textId="1E081B08"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sanctions for deviati</w:t>
            </w:r>
            <w:r w:rsidR="009E0C5B">
              <w:rPr>
                <w:rFonts w:ascii="Times New Roman" w:hAnsi="Times New Roman" w:cs="Times New Roman"/>
                <w:color w:val="000000" w:themeColor="text1"/>
                <w:sz w:val="16"/>
                <w:szCs w:val="16"/>
              </w:rPr>
              <w:t>ng</w:t>
            </w:r>
            <w:r w:rsidRPr="00637861">
              <w:rPr>
                <w:rFonts w:ascii="Times New Roman" w:hAnsi="Times New Roman" w:cs="Times New Roman"/>
                <w:color w:val="000000" w:themeColor="text1"/>
                <w:sz w:val="16"/>
                <w:szCs w:val="16"/>
              </w:rPr>
              <w:t xml:space="preserve"> from sustainability targets</w:t>
            </w:r>
          </w:p>
        </w:tc>
        <w:tc>
          <w:tcPr>
            <w:tcW w:w="4244" w:type="dxa"/>
          </w:tcPr>
          <w:p w14:paraId="34973D7A" w14:textId="51B881E2"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sustainable finance product standards</w:t>
            </w:r>
            <w:r w:rsidR="009E0C5B">
              <w:rPr>
                <w:rFonts w:ascii="Times New Roman" w:hAnsi="Times New Roman" w:cs="Times New Roman"/>
                <w:color w:val="000000" w:themeColor="text1"/>
                <w:sz w:val="16"/>
                <w:szCs w:val="16"/>
              </w:rPr>
              <w:t xml:space="preserve"> and</w:t>
            </w:r>
            <w:r w:rsidR="009E0C5B" w:rsidRPr="00637861">
              <w:rPr>
                <w:rFonts w:ascii="Times New Roman" w:hAnsi="Times New Roman" w:cs="Times New Roman"/>
                <w:color w:val="000000" w:themeColor="text1"/>
                <w:sz w:val="16"/>
                <w:szCs w:val="16"/>
              </w:rPr>
              <w:t xml:space="preserve"> </w:t>
            </w:r>
            <w:r w:rsidRPr="00637861">
              <w:rPr>
                <w:rFonts w:ascii="Times New Roman" w:hAnsi="Times New Roman" w:cs="Times New Roman"/>
                <w:color w:val="000000" w:themeColor="text1"/>
                <w:sz w:val="16"/>
                <w:szCs w:val="16"/>
              </w:rPr>
              <w:t>secondary market entry rules</w:t>
            </w:r>
          </w:p>
        </w:tc>
      </w:tr>
      <w:tr w:rsidR="008B50D1" w:rsidRPr="00637861" w14:paraId="143AFAD6" w14:textId="77777777" w:rsidTr="009F215F">
        <w:trPr>
          <w:trHeight w:val="563"/>
        </w:trPr>
        <w:tc>
          <w:tcPr>
            <w:tcW w:w="0" w:type="auto"/>
          </w:tcPr>
          <w:p w14:paraId="2B52DADE" w14:textId="38A5F396" w:rsidR="008B50D1" w:rsidRPr="00637861" w:rsidRDefault="009E0C5B" w:rsidP="009F215F">
            <w:pPr>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C</w:t>
            </w:r>
            <w:r w:rsidRPr="00637861">
              <w:rPr>
                <w:rFonts w:ascii="Times New Roman" w:hAnsi="Times New Roman" w:cs="Times New Roman"/>
                <w:color w:val="000000" w:themeColor="text1"/>
                <w:sz w:val="16"/>
                <w:szCs w:val="16"/>
              </w:rPr>
              <w:t>onstitutive</w:t>
            </w:r>
          </w:p>
        </w:tc>
        <w:tc>
          <w:tcPr>
            <w:tcW w:w="3573" w:type="dxa"/>
          </w:tcPr>
          <w:p w14:paraId="24A33A9C" w14:textId="1D95938E"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purpose of issue</w:t>
            </w:r>
          </w:p>
        </w:tc>
        <w:tc>
          <w:tcPr>
            <w:tcW w:w="4244" w:type="dxa"/>
          </w:tcPr>
          <w:p w14:paraId="250C42D9" w14:textId="0137B8C8" w:rsidR="008B50D1" w:rsidRPr="00637861" w:rsidRDefault="008B50D1" w:rsidP="009F215F">
            <w:pPr>
              <w:jc w:val="both"/>
              <w:rPr>
                <w:rFonts w:ascii="Times New Roman" w:hAnsi="Times New Roman" w:cs="Times New Roman"/>
                <w:color w:val="000000" w:themeColor="text1"/>
                <w:sz w:val="16"/>
                <w:szCs w:val="16"/>
              </w:rPr>
            </w:pPr>
            <w:r w:rsidRPr="00637861">
              <w:rPr>
                <w:rFonts w:ascii="Times New Roman" w:hAnsi="Times New Roman" w:cs="Times New Roman"/>
                <w:color w:val="000000" w:themeColor="text1"/>
                <w:sz w:val="16"/>
                <w:szCs w:val="16"/>
              </w:rPr>
              <w:t xml:space="preserve">special treatment of </w:t>
            </w:r>
            <w:r w:rsidR="009E0C5B">
              <w:rPr>
                <w:rFonts w:ascii="Times New Roman" w:hAnsi="Times New Roman" w:cs="Times New Roman"/>
                <w:color w:val="000000" w:themeColor="text1"/>
                <w:sz w:val="16"/>
                <w:szCs w:val="16"/>
              </w:rPr>
              <w:t>sustainable finance</w:t>
            </w:r>
            <w:r w:rsidR="009E0C5B" w:rsidRPr="00637861">
              <w:rPr>
                <w:rFonts w:ascii="Times New Roman" w:hAnsi="Times New Roman" w:cs="Times New Roman"/>
                <w:color w:val="000000" w:themeColor="text1"/>
                <w:sz w:val="16"/>
                <w:szCs w:val="16"/>
              </w:rPr>
              <w:t xml:space="preserve"> </w:t>
            </w:r>
            <w:r w:rsidRPr="00637861">
              <w:rPr>
                <w:rFonts w:ascii="Times New Roman" w:hAnsi="Times New Roman" w:cs="Times New Roman"/>
                <w:color w:val="000000" w:themeColor="text1"/>
                <w:sz w:val="16"/>
                <w:szCs w:val="16"/>
              </w:rPr>
              <w:t>products for supervisory and monetary policy purposes</w:t>
            </w:r>
            <w:r w:rsidR="009E0C5B">
              <w:rPr>
                <w:rFonts w:ascii="Times New Roman" w:hAnsi="Times New Roman" w:cs="Times New Roman"/>
                <w:color w:val="000000" w:themeColor="text1"/>
                <w:sz w:val="16"/>
                <w:szCs w:val="16"/>
              </w:rPr>
              <w:t xml:space="preserve"> and</w:t>
            </w:r>
            <w:r w:rsidR="009E0C5B" w:rsidRPr="00637861">
              <w:rPr>
                <w:rFonts w:ascii="Times New Roman" w:hAnsi="Times New Roman" w:cs="Times New Roman"/>
                <w:color w:val="000000" w:themeColor="text1"/>
                <w:sz w:val="16"/>
                <w:szCs w:val="16"/>
              </w:rPr>
              <w:t xml:space="preserve"> </w:t>
            </w:r>
            <w:r w:rsidRPr="00637861">
              <w:rPr>
                <w:rFonts w:ascii="Times New Roman" w:hAnsi="Times New Roman" w:cs="Times New Roman"/>
                <w:color w:val="000000" w:themeColor="text1"/>
                <w:sz w:val="16"/>
                <w:szCs w:val="16"/>
              </w:rPr>
              <w:t>sustainability definitions</w:t>
            </w:r>
          </w:p>
        </w:tc>
      </w:tr>
    </w:tbl>
    <w:p w14:paraId="5439EEDF" w14:textId="668D347D"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Table 3: Expansion and boundary dynamics in sustainable law and finance</w:t>
      </w:r>
    </w:p>
    <w:p w14:paraId="09EAE845" w14:textId="77777777" w:rsidR="008B50D1" w:rsidRPr="00637861" w:rsidRDefault="008B50D1" w:rsidP="00A05A67">
      <w:pPr>
        <w:spacing w:after="120" w:line="360" w:lineRule="auto"/>
        <w:jc w:val="both"/>
        <w:rPr>
          <w:rFonts w:ascii="Times New Roman" w:hAnsi="Times New Roman" w:cs="Times New Roman"/>
          <w:color w:val="000000" w:themeColor="text1"/>
        </w:rPr>
      </w:pPr>
    </w:p>
    <w:p w14:paraId="291C1939" w14:textId="17F4FE28" w:rsidR="008B50D1"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What insights follow for transformative projects of reimagining </w:t>
      </w:r>
      <w:r w:rsidR="009E0C5B">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law and finance to support social and environmental prosperity? First</w:t>
      </w:r>
      <w:r w:rsidR="009E0C5B">
        <w:rPr>
          <w:rFonts w:ascii="Times New Roman" w:hAnsi="Times New Roman" w:cs="Times New Roman"/>
          <w:color w:val="000000" w:themeColor="text1"/>
        </w:rPr>
        <w:t>ly</w:t>
      </w:r>
      <w:r w:rsidRPr="00637861">
        <w:rPr>
          <w:rFonts w:ascii="Times New Roman" w:hAnsi="Times New Roman" w:cs="Times New Roman"/>
          <w:color w:val="000000" w:themeColor="text1"/>
        </w:rPr>
        <w:t xml:space="preserve">, the analysis reveals that the regulatory legal environment remains </w:t>
      </w:r>
      <w:r w:rsidR="009E0C5B" w:rsidRPr="00637861">
        <w:rPr>
          <w:rFonts w:ascii="Times New Roman" w:hAnsi="Times New Roman" w:cs="Times New Roman"/>
          <w:color w:val="000000" w:themeColor="text1"/>
        </w:rPr>
        <w:t xml:space="preserve">underutilised </w:t>
      </w:r>
      <w:r w:rsidRPr="00637861">
        <w:rPr>
          <w:rFonts w:ascii="Times New Roman" w:hAnsi="Times New Roman" w:cs="Times New Roman"/>
          <w:color w:val="000000" w:themeColor="text1"/>
        </w:rPr>
        <w:t xml:space="preserve">in several cases: there is </w:t>
      </w:r>
      <w:r w:rsidR="009E0C5B">
        <w:rPr>
          <w:rFonts w:ascii="Times New Roman" w:hAnsi="Times New Roman" w:cs="Times New Roman"/>
          <w:color w:val="000000" w:themeColor="text1"/>
        </w:rPr>
        <w:t>room</w:t>
      </w:r>
      <w:r w:rsidR="009E0C5B"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for stronger legal encasing</w:t>
      </w:r>
      <w:r w:rsidR="009F215F" w:rsidRPr="00637861">
        <w:rPr>
          <w:rFonts w:ascii="Times New Roman" w:hAnsi="Times New Roman" w:cs="Times New Roman"/>
          <w:color w:val="000000" w:themeColor="text1"/>
        </w:rPr>
        <w:t xml:space="preserve"> of environmental and social goals</w:t>
      </w:r>
      <w:r w:rsidRPr="00637861">
        <w:rPr>
          <w:rFonts w:ascii="Times New Roman" w:hAnsi="Times New Roman" w:cs="Times New Roman"/>
          <w:color w:val="000000" w:themeColor="text1"/>
        </w:rPr>
        <w:t>. In the case of the EU</w:t>
      </w:r>
      <w:r w:rsidR="009E0C5B">
        <w:rPr>
          <w:rFonts w:ascii="Times New Roman" w:hAnsi="Times New Roman" w:cs="Times New Roman"/>
          <w:color w:val="000000" w:themeColor="text1"/>
        </w:rPr>
        <w:t>’s</w:t>
      </w:r>
      <w:r w:rsidRPr="00637861">
        <w:rPr>
          <w:rFonts w:ascii="Times New Roman" w:hAnsi="Times New Roman" w:cs="Times New Roman"/>
          <w:color w:val="000000" w:themeColor="text1"/>
        </w:rPr>
        <w:t xml:space="preserve"> sustainable finance </w:t>
      </w:r>
      <w:r w:rsidR="009F215F" w:rsidRPr="00637861">
        <w:rPr>
          <w:rFonts w:ascii="Times New Roman" w:hAnsi="Times New Roman" w:cs="Times New Roman"/>
          <w:color w:val="000000" w:themeColor="text1"/>
        </w:rPr>
        <w:t>policy</w:t>
      </w:r>
      <w:r w:rsidRPr="00637861">
        <w:rPr>
          <w:rFonts w:ascii="Times New Roman" w:hAnsi="Times New Roman" w:cs="Times New Roman"/>
          <w:color w:val="000000" w:themeColor="text1"/>
        </w:rPr>
        <w:t xml:space="preserve"> regime, this could include further engagement with substantive</w:t>
      </w:r>
      <w:r w:rsidR="009E0C5B">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 rather than purely procedural</w:t>
      </w:r>
      <w:r w:rsidR="009E0C5B">
        <w:rPr>
          <w:rFonts w:ascii="Times New Roman" w:hAnsi="Times New Roman" w:cs="Times New Roman"/>
          <w:color w:val="000000" w:themeColor="text1"/>
        </w:rPr>
        <w:t xml:space="preserve"> –</w:t>
      </w:r>
      <w:r w:rsidR="009E0C5B"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aspects of sustainable financing. Legal innovations here, as argued by Park and Agostini, </w:t>
      </w:r>
      <w:r w:rsidR="009E0C5B" w:rsidRPr="00637861">
        <w:rPr>
          <w:rFonts w:ascii="Times New Roman" w:hAnsi="Times New Roman" w:cs="Times New Roman"/>
          <w:color w:val="000000" w:themeColor="text1"/>
        </w:rPr>
        <w:t xml:space="preserve">could include </w:t>
      </w:r>
      <w:r w:rsidRPr="00637861">
        <w:rPr>
          <w:rFonts w:ascii="Times New Roman" w:hAnsi="Times New Roman" w:cs="Times New Roman"/>
          <w:color w:val="000000" w:themeColor="text1"/>
        </w:rPr>
        <w:t xml:space="preserve">a standardised </w:t>
      </w:r>
      <w:r w:rsidR="00736ED1">
        <w:rPr>
          <w:rFonts w:ascii="Times New Roman" w:hAnsi="Times New Roman" w:cs="Times New Roman"/>
          <w:color w:val="000000" w:themeColor="text1"/>
        </w:rPr>
        <w:t>‘</w:t>
      </w:r>
      <w:r w:rsidRPr="00637861">
        <w:rPr>
          <w:rFonts w:ascii="Times New Roman" w:hAnsi="Times New Roman" w:cs="Times New Roman"/>
          <w:color w:val="000000" w:themeColor="text1"/>
        </w:rPr>
        <w:t>green default</w:t>
      </w:r>
      <w:r w:rsidR="00736ED1">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provision. Furthermore, requiring that GBF</w:t>
      </w:r>
      <w:r w:rsidR="009E0C5B">
        <w:rPr>
          <w:rFonts w:ascii="Times New Roman" w:hAnsi="Times New Roman" w:cs="Times New Roman"/>
          <w:color w:val="000000" w:themeColor="text1"/>
        </w:rPr>
        <w:t>s are</w:t>
      </w:r>
      <w:r w:rsidRPr="00637861">
        <w:rPr>
          <w:rFonts w:ascii="Times New Roman" w:hAnsi="Times New Roman" w:cs="Times New Roman"/>
          <w:color w:val="000000" w:themeColor="text1"/>
        </w:rPr>
        <w:t xml:space="preserve"> consistently incorporated into the prospectus documentation would resolve the ambiguity of ‘empty promises’. </w:t>
      </w:r>
      <w:r w:rsidR="009E0C5B">
        <w:rPr>
          <w:rFonts w:ascii="Times New Roman" w:hAnsi="Times New Roman" w:cs="Times New Roman"/>
          <w:color w:val="000000" w:themeColor="text1"/>
        </w:rPr>
        <w:t>H</w:t>
      </w:r>
      <w:r w:rsidR="009E0C5B" w:rsidRPr="00637861">
        <w:rPr>
          <w:rFonts w:ascii="Times New Roman" w:hAnsi="Times New Roman" w:cs="Times New Roman"/>
          <w:color w:val="000000" w:themeColor="text1"/>
        </w:rPr>
        <w:t xml:space="preserve">owever, </w:t>
      </w:r>
      <w:r w:rsidR="009E0C5B">
        <w:rPr>
          <w:rFonts w:ascii="Times New Roman" w:hAnsi="Times New Roman" w:cs="Times New Roman"/>
          <w:color w:val="000000" w:themeColor="text1"/>
        </w:rPr>
        <w:t>t</w:t>
      </w:r>
      <w:r w:rsidR="009E0C5B" w:rsidRPr="00637861">
        <w:rPr>
          <w:rFonts w:ascii="Times New Roman" w:hAnsi="Times New Roman" w:cs="Times New Roman"/>
          <w:color w:val="000000" w:themeColor="text1"/>
        </w:rPr>
        <w:t xml:space="preserve">hese </w:t>
      </w:r>
      <w:r w:rsidRPr="00637861">
        <w:rPr>
          <w:rFonts w:ascii="Times New Roman" w:hAnsi="Times New Roman" w:cs="Times New Roman"/>
          <w:color w:val="000000" w:themeColor="text1"/>
        </w:rPr>
        <w:t>are still comparatively weaker than the ‘declassification’</w:t>
      </w:r>
      <w:r w:rsidRPr="00637861">
        <w:rPr>
          <w:rStyle w:val="Odwoanieprzypisudolnego"/>
          <w:rFonts w:ascii="Times New Roman" w:hAnsi="Times New Roman" w:cs="Times New Roman"/>
          <w:color w:val="000000" w:themeColor="text1"/>
        </w:rPr>
        <w:footnoteReference w:id="107"/>
      </w:r>
      <w:r w:rsidRPr="00637861">
        <w:rPr>
          <w:rFonts w:ascii="Times New Roman" w:hAnsi="Times New Roman" w:cs="Times New Roman"/>
          <w:color w:val="000000" w:themeColor="text1"/>
        </w:rPr>
        <w:t xml:space="preserve"> or ‘</w:t>
      </w:r>
      <w:proofErr w:type="spellStart"/>
      <w:r w:rsidRPr="00637861">
        <w:rPr>
          <w:rFonts w:ascii="Times New Roman" w:hAnsi="Times New Roman" w:cs="Times New Roman"/>
          <w:i/>
          <w:iCs/>
          <w:color w:val="000000" w:themeColor="text1"/>
        </w:rPr>
        <w:t>rendez</w:t>
      </w:r>
      <w:proofErr w:type="spellEnd"/>
      <w:r w:rsidRPr="00637861">
        <w:rPr>
          <w:rFonts w:ascii="Times New Roman" w:hAnsi="Times New Roman" w:cs="Times New Roman"/>
          <w:i/>
          <w:iCs/>
          <w:color w:val="000000" w:themeColor="text1"/>
        </w:rPr>
        <w:t xml:space="preserve"> </w:t>
      </w:r>
      <w:proofErr w:type="spellStart"/>
      <w:r w:rsidRPr="00637861">
        <w:rPr>
          <w:rFonts w:ascii="Times New Roman" w:hAnsi="Times New Roman" w:cs="Times New Roman"/>
          <w:i/>
          <w:iCs/>
          <w:color w:val="000000" w:themeColor="text1"/>
        </w:rPr>
        <w:t>vous</w:t>
      </w:r>
      <w:proofErr w:type="spellEnd"/>
      <w:r w:rsidRPr="00637861">
        <w:rPr>
          <w:rFonts w:ascii="Times New Roman" w:hAnsi="Times New Roman" w:cs="Times New Roman"/>
          <w:color w:val="000000" w:themeColor="text1"/>
        </w:rPr>
        <w:t>’ clauses that exist for sustainable loan instruments.</w:t>
      </w:r>
      <w:r w:rsidRPr="00637861">
        <w:rPr>
          <w:rStyle w:val="Odwoanieprzypisudolnego"/>
          <w:rFonts w:ascii="Times New Roman" w:hAnsi="Times New Roman" w:cs="Times New Roman"/>
          <w:color w:val="000000" w:themeColor="text1"/>
        </w:rPr>
        <w:footnoteReference w:id="108"/>
      </w:r>
      <w:r w:rsidRPr="00637861">
        <w:rPr>
          <w:rFonts w:ascii="Times New Roman" w:hAnsi="Times New Roman" w:cs="Times New Roman"/>
          <w:color w:val="000000" w:themeColor="text1"/>
        </w:rPr>
        <w:t xml:space="preserve"> At the very least</w:t>
      </w:r>
      <w:r w:rsidR="009E0C5B">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the sanction mechanisms</w:t>
      </w:r>
      <w:r w:rsidR="009E0C5B">
        <w:rPr>
          <w:rFonts w:ascii="Times New Roman" w:hAnsi="Times New Roman" w:cs="Times New Roman"/>
          <w:color w:val="000000" w:themeColor="text1"/>
        </w:rPr>
        <w:t xml:space="preserve"> –</w:t>
      </w:r>
      <w:r w:rsidR="009E0C5B"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such as early redemption if the proceeds </w:t>
      </w:r>
      <w:r w:rsidR="009E0C5B">
        <w:rPr>
          <w:rFonts w:ascii="Times New Roman" w:hAnsi="Times New Roman" w:cs="Times New Roman"/>
          <w:color w:val="000000" w:themeColor="text1"/>
        </w:rPr>
        <w:t xml:space="preserve">are </w:t>
      </w:r>
      <w:r w:rsidRPr="00637861">
        <w:rPr>
          <w:rFonts w:ascii="Times New Roman" w:hAnsi="Times New Roman" w:cs="Times New Roman"/>
          <w:color w:val="000000" w:themeColor="text1"/>
        </w:rPr>
        <w:t xml:space="preserve">not </w:t>
      </w:r>
      <w:r w:rsidR="009E0C5B">
        <w:rPr>
          <w:rFonts w:ascii="Times New Roman" w:hAnsi="Times New Roman" w:cs="Times New Roman"/>
          <w:color w:val="000000" w:themeColor="text1"/>
        </w:rPr>
        <w:t xml:space="preserve">used </w:t>
      </w:r>
      <w:r w:rsidRPr="00637861">
        <w:rPr>
          <w:rFonts w:ascii="Times New Roman" w:hAnsi="Times New Roman" w:cs="Times New Roman"/>
          <w:color w:val="000000" w:themeColor="text1"/>
        </w:rPr>
        <w:t>in accordance with the GBF</w:t>
      </w:r>
      <w:r w:rsidR="009E0C5B">
        <w:rPr>
          <w:rFonts w:ascii="Times New Roman" w:hAnsi="Times New Roman" w:cs="Times New Roman"/>
          <w:color w:val="000000" w:themeColor="text1"/>
        </w:rPr>
        <w:t xml:space="preserve"> –</w:t>
      </w:r>
      <w:r w:rsidR="009E0C5B"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should be consistently adopted to avoid arbitrage and greenwashing.</w:t>
      </w:r>
    </w:p>
    <w:p w14:paraId="4DB07F23" w14:textId="33C2EC79" w:rsidR="008B50D1" w:rsidRPr="00637861" w:rsidRDefault="008B50D1" w:rsidP="00036B1C">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Second</w:t>
      </w:r>
      <w:r w:rsidR="009E0C5B">
        <w:rPr>
          <w:rFonts w:ascii="Times New Roman" w:hAnsi="Times New Roman" w:cs="Times New Roman"/>
          <w:color w:val="000000" w:themeColor="text1"/>
        </w:rPr>
        <w:t>ly</w:t>
      </w:r>
      <w:r w:rsidRPr="00637861">
        <w:rPr>
          <w:rFonts w:ascii="Times New Roman" w:hAnsi="Times New Roman" w:cs="Times New Roman"/>
          <w:color w:val="000000" w:themeColor="text1"/>
        </w:rPr>
        <w:t xml:space="preserve">, the identified </w:t>
      </w:r>
      <w:r w:rsidR="00E136A6">
        <w:rPr>
          <w:rFonts w:ascii="Times New Roman" w:hAnsi="Times New Roman" w:cs="Times New Roman"/>
          <w:color w:val="000000" w:themeColor="text1"/>
        </w:rPr>
        <w:t xml:space="preserve">relevance of the </w:t>
      </w:r>
      <w:proofErr w:type="spellStart"/>
      <w:r w:rsidR="00E136A6">
        <w:rPr>
          <w:rFonts w:ascii="Times New Roman" w:hAnsi="Times New Roman" w:cs="Times New Roman"/>
          <w:color w:val="000000" w:themeColor="text1"/>
        </w:rPr>
        <w:t>macrofinancial</w:t>
      </w:r>
      <w:proofErr w:type="spellEnd"/>
      <w:r w:rsidR="00E136A6">
        <w:rPr>
          <w:rFonts w:ascii="Times New Roman" w:hAnsi="Times New Roman" w:cs="Times New Roman"/>
          <w:color w:val="000000" w:themeColor="text1"/>
        </w:rPr>
        <w:t xml:space="preserve"> regime for the </w:t>
      </w:r>
      <w:r w:rsidRPr="00637861">
        <w:rPr>
          <w:rFonts w:ascii="Times New Roman" w:hAnsi="Times New Roman" w:cs="Times New Roman"/>
          <w:color w:val="000000" w:themeColor="text1"/>
        </w:rPr>
        <w:t>co-</w:t>
      </w:r>
      <w:r w:rsidR="00E136A6" w:rsidRPr="00637861">
        <w:rPr>
          <w:rFonts w:ascii="Times New Roman" w:hAnsi="Times New Roman" w:cs="Times New Roman"/>
          <w:color w:val="000000" w:themeColor="text1"/>
        </w:rPr>
        <w:t>constitut</w:t>
      </w:r>
      <w:r w:rsidR="00E136A6">
        <w:rPr>
          <w:rFonts w:ascii="Times New Roman" w:hAnsi="Times New Roman" w:cs="Times New Roman"/>
          <w:color w:val="000000" w:themeColor="text1"/>
        </w:rPr>
        <w:t>ive</w:t>
      </w:r>
      <w:r w:rsidRPr="00637861">
        <w:rPr>
          <w:rFonts w:ascii="Times New Roman" w:hAnsi="Times New Roman" w:cs="Times New Roman"/>
          <w:color w:val="000000" w:themeColor="text1"/>
        </w:rPr>
        <w:t xml:space="preserve"> </w:t>
      </w:r>
      <w:r w:rsidR="00E136A6">
        <w:rPr>
          <w:rFonts w:ascii="Times New Roman" w:hAnsi="Times New Roman" w:cs="Times New Roman"/>
          <w:color w:val="000000" w:themeColor="text1"/>
        </w:rPr>
        <w:t xml:space="preserve">dynamics </w:t>
      </w:r>
      <w:r w:rsidRPr="00637861">
        <w:rPr>
          <w:rFonts w:ascii="Times New Roman" w:hAnsi="Times New Roman" w:cs="Times New Roman"/>
          <w:color w:val="000000" w:themeColor="text1"/>
        </w:rPr>
        <w:t xml:space="preserve">of law and finance suggest that a lack of credible differentiation within the </w:t>
      </w:r>
      <w:proofErr w:type="spellStart"/>
      <w:r w:rsidRPr="00637861">
        <w:rPr>
          <w:rFonts w:ascii="Times New Roman" w:hAnsi="Times New Roman" w:cs="Times New Roman"/>
          <w:color w:val="000000" w:themeColor="text1"/>
        </w:rPr>
        <w:t>macrofinancial</w:t>
      </w:r>
      <w:proofErr w:type="spellEnd"/>
      <w:r w:rsidRPr="00637861">
        <w:rPr>
          <w:rFonts w:ascii="Times New Roman" w:hAnsi="Times New Roman" w:cs="Times New Roman"/>
          <w:color w:val="000000" w:themeColor="text1"/>
        </w:rPr>
        <w:t xml:space="preserve"> regime may undermine the transformation efforts and legal reform agendas</w:t>
      </w:r>
      <w:r w:rsidR="009F215F" w:rsidRPr="00637861">
        <w:rPr>
          <w:rFonts w:ascii="Times New Roman" w:hAnsi="Times New Roman" w:cs="Times New Roman"/>
          <w:color w:val="000000" w:themeColor="text1"/>
        </w:rPr>
        <w:t>. In other words,</w:t>
      </w:r>
      <w:r w:rsidRPr="00637861">
        <w:rPr>
          <w:rFonts w:ascii="Times New Roman" w:hAnsi="Times New Roman" w:cs="Times New Roman"/>
          <w:color w:val="000000" w:themeColor="text1"/>
        </w:rPr>
        <w:t xml:space="preserve"> supervisory forbearance or absence of dedicated monetary policy tools may limit the transformative impacts of sustainable law and finance. Such integration needs to be sufficiently flexible, however, and the inevitable risk and uncertainty that come </w:t>
      </w:r>
      <w:r w:rsidR="009E0C5B">
        <w:rPr>
          <w:rFonts w:ascii="Times New Roman" w:hAnsi="Times New Roman" w:cs="Times New Roman"/>
          <w:color w:val="000000" w:themeColor="text1"/>
        </w:rPr>
        <w:t>with</w:t>
      </w:r>
      <w:r w:rsidR="009E0C5B"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the transformation learning phase </w:t>
      </w:r>
      <w:r w:rsidR="009E0C5B">
        <w:rPr>
          <w:rFonts w:ascii="Times New Roman" w:hAnsi="Times New Roman" w:cs="Times New Roman"/>
          <w:color w:val="000000" w:themeColor="text1"/>
        </w:rPr>
        <w:t xml:space="preserve">must be </w:t>
      </w:r>
      <w:r w:rsidR="009E0C5B" w:rsidRPr="00637861">
        <w:rPr>
          <w:rFonts w:ascii="Times New Roman" w:hAnsi="Times New Roman" w:cs="Times New Roman"/>
          <w:color w:val="000000" w:themeColor="text1"/>
        </w:rPr>
        <w:t>accept</w:t>
      </w:r>
      <w:r w:rsidR="009E0C5B">
        <w:rPr>
          <w:rFonts w:ascii="Times New Roman" w:hAnsi="Times New Roman" w:cs="Times New Roman"/>
          <w:color w:val="000000" w:themeColor="text1"/>
        </w:rPr>
        <w:t>ed</w:t>
      </w:r>
      <w:r w:rsidR="009E0C5B"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 too strict and narrow </w:t>
      </w:r>
      <w:r w:rsidR="009E0C5B">
        <w:rPr>
          <w:rFonts w:ascii="Times New Roman" w:hAnsi="Times New Roman" w:cs="Times New Roman"/>
          <w:color w:val="000000" w:themeColor="text1"/>
        </w:rPr>
        <w:t xml:space="preserve">an </w:t>
      </w:r>
      <w:r w:rsidRPr="00637861">
        <w:rPr>
          <w:rFonts w:ascii="Times New Roman" w:hAnsi="Times New Roman" w:cs="Times New Roman"/>
          <w:color w:val="000000" w:themeColor="text1"/>
        </w:rPr>
        <w:t>interpretation (boundary reinforcing) can stifle change.</w:t>
      </w:r>
      <w:r w:rsidRPr="00637861">
        <w:rPr>
          <w:rStyle w:val="Odwoanieprzypisudolnego"/>
          <w:rFonts w:ascii="Times New Roman" w:hAnsi="Times New Roman" w:cs="Times New Roman"/>
          <w:color w:val="000000" w:themeColor="text1"/>
        </w:rPr>
        <w:footnoteReference w:id="109"/>
      </w:r>
      <w:r w:rsidRPr="00637861">
        <w:rPr>
          <w:rFonts w:ascii="Times New Roman" w:hAnsi="Times New Roman" w:cs="Times New Roman"/>
          <w:color w:val="000000" w:themeColor="text1"/>
        </w:rPr>
        <w:t xml:space="preserve"> The role of the </w:t>
      </w:r>
      <w:proofErr w:type="spellStart"/>
      <w:r w:rsidRPr="00637861">
        <w:rPr>
          <w:rFonts w:ascii="Times New Roman" w:hAnsi="Times New Roman" w:cs="Times New Roman"/>
          <w:color w:val="000000" w:themeColor="text1"/>
        </w:rPr>
        <w:t>macrofina</w:t>
      </w:r>
      <w:r w:rsidR="009E0C5B">
        <w:rPr>
          <w:rFonts w:ascii="Times New Roman" w:hAnsi="Times New Roman" w:cs="Times New Roman"/>
          <w:color w:val="000000" w:themeColor="text1"/>
        </w:rPr>
        <w:t>n</w:t>
      </w:r>
      <w:r w:rsidRPr="00637861">
        <w:rPr>
          <w:rFonts w:ascii="Times New Roman" w:hAnsi="Times New Roman" w:cs="Times New Roman"/>
          <w:color w:val="000000" w:themeColor="text1"/>
        </w:rPr>
        <w:t>cial</w:t>
      </w:r>
      <w:proofErr w:type="spellEnd"/>
      <w:r w:rsidRPr="00637861">
        <w:rPr>
          <w:rFonts w:ascii="Times New Roman" w:hAnsi="Times New Roman" w:cs="Times New Roman"/>
          <w:color w:val="000000" w:themeColor="text1"/>
        </w:rPr>
        <w:t xml:space="preserve"> regime is especially </w:t>
      </w:r>
      <w:r w:rsidRPr="00637861">
        <w:rPr>
          <w:rFonts w:ascii="Times New Roman" w:hAnsi="Times New Roman" w:cs="Times New Roman"/>
          <w:color w:val="000000" w:themeColor="text1"/>
        </w:rPr>
        <w:lastRenderedPageBreak/>
        <w:t xml:space="preserve">important </w:t>
      </w:r>
      <w:r w:rsidR="00C52989">
        <w:rPr>
          <w:rFonts w:ascii="Times New Roman" w:hAnsi="Times New Roman" w:cs="Times New Roman"/>
          <w:color w:val="000000" w:themeColor="text1"/>
        </w:rPr>
        <w:t>in the context of</w:t>
      </w:r>
      <w:r w:rsidRPr="00637861">
        <w:rPr>
          <w:rFonts w:ascii="Times New Roman" w:hAnsi="Times New Roman" w:cs="Times New Roman"/>
          <w:color w:val="000000" w:themeColor="text1"/>
        </w:rPr>
        <w:t xml:space="preserve"> arguments relating to how more ‘stringent’ legal requirements may disincentivise the uptake of particular legal instruments. Likewise, the existence or absence of a binding Green Taxonomy (providing a classification of ‘green’ projects) or specific bans on ESG integration in financial management impact market trends, both with regard to the type of financial instruments selected (i.e. use of proceeds </w:t>
      </w:r>
      <w:proofErr w:type="spellStart"/>
      <w:r w:rsidRPr="00637861">
        <w:rPr>
          <w:rFonts w:ascii="Times New Roman" w:hAnsi="Times New Roman" w:cs="Times New Roman"/>
          <w:color w:val="000000" w:themeColor="text1"/>
        </w:rPr>
        <w:t>or</w:t>
      </w:r>
      <w:proofErr w:type="spellEnd"/>
      <w:r w:rsidRPr="00637861">
        <w:rPr>
          <w:rFonts w:ascii="Times New Roman" w:hAnsi="Times New Roman" w:cs="Times New Roman"/>
          <w:color w:val="000000" w:themeColor="text1"/>
        </w:rPr>
        <w:t xml:space="preserve"> general corporate financing with sustainability KPIs) </w:t>
      </w:r>
      <w:r w:rsidR="00D87E53">
        <w:rPr>
          <w:rFonts w:ascii="Times New Roman" w:hAnsi="Times New Roman" w:cs="Times New Roman"/>
          <w:color w:val="000000" w:themeColor="text1"/>
        </w:rPr>
        <w:t>and</w:t>
      </w:r>
      <w:r w:rsidR="00D87E53"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the overall market dynamics (e.g. </w:t>
      </w:r>
      <w:r w:rsidR="00D87E53">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slowdown in sustainable financing in several </w:t>
      </w:r>
      <w:r w:rsidR="00D87E53" w:rsidRPr="00637861">
        <w:rPr>
          <w:rFonts w:ascii="Times New Roman" w:hAnsi="Times New Roman" w:cs="Times New Roman"/>
          <w:color w:val="000000" w:themeColor="text1"/>
        </w:rPr>
        <w:t xml:space="preserve">US </w:t>
      </w:r>
      <w:r w:rsidRPr="00637861">
        <w:rPr>
          <w:rFonts w:ascii="Times New Roman" w:hAnsi="Times New Roman" w:cs="Times New Roman"/>
          <w:color w:val="000000" w:themeColor="text1"/>
        </w:rPr>
        <w:t>states).</w:t>
      </w:r>
      <w:r w:rsidRPr="00637861">
        <w:rPr>
          <w:rStyle w:val="Odwoanieprzypisudolnego"/>
          <w:rFonts w:ascii="Times New Roman" w:hAnsi="Times New Roman" w:cs="Times New Roman"/>
          <w:color w:val="000000" w:themeColor="text1"/>
        </w:rPr>
        <w:footnoteReference w:id="110"/>
      </w:r>
      <w:r w:rsidRPr="00637861">
        <w:rPr>
          <w:rFonts w:ascii="Times New Roman" w:hAnsi="Times New Roman" w:cs="Times New Roman"/>
          <w:color w:val="000000" w:themeColor="text1"/>
        </w:rPr>
        <w:t xml:space="preserve"> </w:t>
      </w:r>
    </w:p>
    <w:p w14:paraId="0BC8B058" w14:textId="77777777" w:rsidR="008B50D1" w:rsidRPr="00637861" w:rsidRDefault="008B50D1" w:rsidP="00A05A67">
      <w:pPr>
        <w:spacing w:after="120" w:line="360" w:lineRule="auto"/>
        <w:jc w:val="both"/>
        <w:rPr>
          <w:rFonts w:ascii="Times New Roman" w:hAnsi="Times New Roman" w:cs="Times New Roman"/>
          <w:color w:val="000000" w:themeColor="text1"/>
        </w:rPr>
      </w:pPr>
    </w:p>
    <w:p w14:paraId="685BDA3E" w14:textId="6850E486" w:rsidR="008B50D1" w:rsidRPr="00637861" w:rsidRDefault="008B50D1" w:rsidP="00F9622D">
      <w:pPr>
        <w:pStyle w:val="Nagwek1"/>
        <w:numPr>
          <w:ilvl w:val="0"/>
          <w:numId w:val="11"/>
        </w:numPr>
        <w:spacing w:before="0" w:after="120" w:line="360" w:lineRule="auto"/>
        <w:jc w:val="both"/>
        <w:rPr>
          <w:rFonts w:ascii="Times New Roman" w:hAnsi="Times New Roman" w:cs="Times New Roman"/>
          <w:b/>
          <w:bCs/>
          <w:color w:val="000000" w:themeColor="text1"/>
          <w:sz w:val="24"/>
          <w:szCs w:val="24"/>
        </w:rPr>
      </w:pPr>
      <w:bookmarkStart w:id="2" w:name="_Toc170377190"/>
      <w:r w:rsidRPr="00637861">
        <w:rPr>
          <w:rFonts w:ascii="Times New Roman" w:hAnsi="Times New Roman" w:cs="Times New Roman"/>
          <w:b/>
          <w:bCs/>
          <w:color w:val="000000" w:themeColor="text1"/>
          <w:sz w:val="24"/>
          <w:szCs w:val="24"/>
        </w:rPr>
        <w:t>Conclusions</w:t>
      </w:r>
      <w:bookmarkEnd w:id="2"/>
    </w:p>
    <w:p w14:paraId="2873F205" w14:textId="0BE9180F" w:rsidR="008F5A6D" w:rsidRPr="00637861" w:rsidRDefault="008B50D1" w:rsidP="00A05A67">
      <w:pPr>
        <w:spacing w:after="120" w:line="360" w:lineRule="auto"/>
        <w:jc w:val="both"/>
        <w:rPr>
          <w:rFonts w:ascii="Times New Roman" w:hAnsi="Times New Roman" w:cs="Times New Roman"/>
          <w:color w:val="000000" w:themeColor="text1"/>
        </w:rPr>
      </w:pPr>
      <w:r w:rsidRPr="00637861">
        <w:rPr>
          <w:rFonts w:ascii="Times New Roman" w:hAnsi="Times New Roman" w:cs="Times New Roman"/>
          <w:color w:val="000000" w:themeColor="text1"/>
        </w:rPr>
        <w:t xml:space="preserve">Taking the example of green bonds, an emerging trend in sustainable finance, this article has contributed to the debate on </w:t>
      </w:r>
      <w:r w:rsidR="00D87E53">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co-constitutive role of law in finance by drawing attention to how the different aspects of the legal environment </w:t>
      </w:r>
      <w:r w:rsidR="001A5B43">
        <w:rPr>
          <w:rFonts w:ascii="Times New Roman" w:hAnsi="Times New Roman" w:cs="Times New Roman"/>
          <w:color w:val="000000" w:themeColor="text1"/>
        </w:rPr>
        <w:t>interact with sustainable finance via</w:t>
      </w:r>
      <w:r w:rsidRPr="00637861">
        <w:rPr>
          <w:rFonts w:ascii="Times New Roman" w:hAnsi="Times New Roman" w:cs="Times New Roman"/>
          <w:color w:val="000000" w:themeColor="text1"/>
        </w:rPr>
        <w:t xml:space="preserve"> </w:t>
      </w:r>
      <w:r w:rsidR="00D87E53">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dynamics of differentiation (distinguishing sustainable from traditional finance) and expansion (new actors</w:t>
      </w:r>
      <w:r w:rsidR="00D87E53">
        <w:rPr>
          <w:rFonts w:ascii="Times New Roman" w:hAnsi="Times New Roman" w:cs="Times New Roman"/>
          <w:color w:val="000000" w:themeColor="text1"/>
        </w:rPr>
        <w:t xml:space="preserve"> and</w:t>
      </w:r>
      <w:r w:rsidR="00D87E53"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broader stakeholder involvement). </w:t>
      </w:r>
      <w:r w:rsidR="00C87438">
        <w:rPr>
          <w:rFonts w:ascii="Times New Roman" w:hAnsi="Times New Roman" w:cs="Times New Roman"/>
          <w:color w:val="000000" w:themeColor="text1"/>
        </w:rPr>
        <w:t>In the context of sustainable finance, t</w:t>
      </w:r>
      <w:r w:rsidR="00D87E53">
        <w:rPr>
          <w:rFonts w:ascii="Times New Roman" w:hAnsi="Times New Roman" w:cs="Times New Roman"/>
          <w:color w:val="000000" w:themeColor="text1"/>
        </w:rPr>
        <w:t>he</w:t>
      </w:r>
      <w:r w:rsidR="001A5B43">
        <w:rPr>
          <w:rFonts w:ascii="Times New Roman" w:hAnsi="Times New Roman" w:cs="Times New Roman"/>
          <w:color w:val="000000" w:themeColor="text1"/>
        </w:rPr>
        <w:t xml:space="preserve"> law</w:t>
      </w:r>
      <w:r w:rsidRPr="00637861">
        <w:rPr>
          <w:rFonts w:ascii="Times New Roman" w:hAnsi="Times New Roman" w:cs="Times New Roman"/>
          <w:color w:val="000000" w:themeColor="text1"/>
        </w:rPr>
        <w:t xml:space="preserve"> shapes how market actors interact (facilitation), </w:t>
      </w:r>
      <w:r w:rsidR="00C87438">
        <w:rPr>
          <w:rFonts w:ascii="Times New Roman" w:hAnsi="Times New Roman" w:cs="Times New Roman"/>
          <w:color w:val="000000" w:themeColor="text1"/>
        </w:rPr>
        <w:t>act</w:t>
      </w:r>
      <w:r w:rsidRPr="00637861">
        <w:rPr>
          <w:rFonts w:ascii="Times New Roman" w:hAnsi="Times New Roman" w:cs="Times New Roman"/>
          <w:color w:val="000000" w:themeColor="text1"/>
        </w:rPr>
        <w:t xml:space="preserve"> (regulation) and </w:t>
      </w:r>
      <w:r w:rsidR="00C87438">
        <w:rPr>
          <w:rFonts w:ascii="Times New Roman" w:hAnsi="Times New Roman" w:cs="Times New Roman"/>
          <w:color w:val="000000" w:themeColor="text1"/>
        </w:rPr>
        <w:t xml:space="preserve">share </w:t>
      </w:r>
      <w:r w:rsidR="00C67EB6">
        <w:rPr>
          <w:rFonts w:ascii="Times New Roman" w:hAnsi="Times New Roman" w:cs="Times New Roman"/>
          <w:color w:val="000000" w:themeColor="text1"/>
        </w:rPr>
        <w:t>the cognitive infrastructure of the market</w:t>
      </w:r>
      <w:r w:rsidRPr="00637861">
        <w:rPr>
          <w:rFonts w:ascii="Times New Roman" w:hAnsi="Times New Roman" w:cs="Times New Roman"/>
          <w:color w:val="000000" w:themeColor="text1"/>
        </w:rPr>
        <w:t xml:space="preserve"> (constitution).</w:t>
      </w:r>
      <w:r w:rsidRPr="00637861">
        <w:rPr>
          <w:rStyle w:val="Odwoanieprzypisudolnego"/>
          <w:rFonts w:ascii="Times New Roman" w:hAnsi="Times New Roman" w:cs="Times New Roman"/>
          <w:color w:val="000000" w:themeColor="text1"/>
        </w:rPr>
        <w:footnoteReference w:id="111"/>
      </w:r>
      <w:r w:rsidRPr="00637861">
        <w:rPr>
          <w:rFonts w:ascii="Times New Roman" w:hAnsi="Times New Roman" w:cs="Times New Roman"/>
          <w:color w:val="000000" w:themeColor="text1"/>
        </w:rPr>
        <w:t xml:space="preserve"> Although formal law has been observed to stifle transformation through waivers included in contract terms in sustainable finance, it is the very fact that these are still </w:t>
      </w:r>
      <w:r w:rsidR="00D87E53">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object of negotiation and </w:t>
      </w:r>
      <w:r w:rsidRPr="00637861">
        <w:rPr>
          <w:rFonts w:ascii="Times New Roman" w:hAnsi="Times New Roman" w:cs="Times New Roman"/>
          <w:i/>
          <w:iCs/>
          <w:color w:val="000000" w:themeColor="text1"/>
        </w:rPr>
        <w:t>ex post</w:t>
      </w:r>
      <w:r w:rsidRPr="00637861">
        <w:rPr>
          <w:rFonts w:ascii="Times New Roman" w:hAnsi="Times New Roman" w:cs="Times New Roman"/>
          <w:color w:val="000000" w:themeColor="text1"/>
        </w:rPr>
        <w:t xml:space="preserve"> monitoring that </w:t>
      </w:r>
      <w:r w:rsidR="00D87E53">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law, in a sense despite itself, has a transformative effect. From this perspective, </w:t>
      </w:r>
      <w:r w:rsidR="00D87E53">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criticism dismissing law as epiphenomenal to sustainable finance</w:t>
      </w:r>
      <w:r w:rsidR="00D87E53">
        <w:rPr>
          <w:rFonts w:ascii="Times New Roman" w:hAnsi="Times New Roman" w:cs="Times New Roman"/>
          <w:color w:val="000000" w:themeColor="text1"/>
        </w:rPr>
        <w:t xml:space="preserve"> is</w:t>
      </w:r>
      <w:r w:rsidRPr="00637861">
        <w:rPr>
          <w:rFonts w:ascii="Times New Roman" w:hAnsi="Times New Roman" w:cs="Times New Roman"/>
          <w:color w:val="000000" w:themeColor="text1"/>
        </w:rPr>
        <w:t xml:space="preserve"> revealed to </w:t>
      </w:r>
      <w:r w:rsidR="00D87E53">
        <w:rPr>
          <w:rFonts w:ascii="Times New Roman" w:hAnsi="Times New Roman" w:cs="Times New Roman"/>
          <w:color w:val="000000" w:themeColor="text1"/>
        </w:rPr>
        <w:t xml:space="preserve">also </w:t>
      </w:r>
      <w:r w:rsidRPr="00637861">
        <w:rPr>
          <w:rFonts w:ascii="Times New Roman" w:hAnsi="Times New Roman" w:cs="Times New Roman"/>
          <w:color w:val="000000" w:themeColor="text1"/>
        </w:rPr>
        <w:t xml:space="preserve">stem from </w:t>
      </w:r>
      <w:r w:rsidR="00D87E53">
        <w:rPr>
          <w:rFonts w:ascii="Times New Roman" w:hAnsi="Times New Roman" w:cs="Times New Roman"/>
          <w:color w:val="000000" w:themeColor="text1"/>
        </w:rPr>
        <w:t xml:space="preserve">a </w:t>
      </w:r>
      <w:r w:rsidRPr="00637861">
        <w:rPr>
          <w:rFonts w:ascii="Times New Roman" w:hAnsi="Times New Roman" w:cs="Times New Roman"/>
          <w:color w:val="000000" w:themeColor="text1"/>
        </w:rPr>
        <w:t xml:space="preserve">narrow understanding of what </w:t>
      </w:r>
      <w:r w:rsidR="00D87E53">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t xml:space="preserve">law is and </w:t>
      </w:r>
      <w:r w:rsidR="00D87E53">
        <w:rPr>
          <w:rFonts w:ascii="Times New Roman" w:hAnsi="Times New Roman" w:cs="Times New Roman"/>
          <w:color w:val="000000" w:themeColor="text1"/>
        </w:rPr>
        <w:t xml:space="preserve">an </w:t>
      </w:r>
      <w:r w:rsidR="00D87E53" w:rsidRPr="00637861">
        <w:rPr>
          <w:rFonts w:ascii="Times New Roman" w:hAnsi="Times New Roman" w:cs="Times New Roman"/>
          <w:color w:val="000000" w:themeColor="text1"/>
        </w:rPr>
        <w:t>underestimat</w:t>
      </w:r>
      <w:r w:rsidR="00D87E53">
        <w:rPr>
          <w:rFonts w:ascii="Times New Roman" w:hAnsi="Times New Roman" w:cs="Times New Roman"/>
          <w:color w:val="000000" w:themeColor="text1"/>
        </w:rPr>
        <w:t>ion of the</w:t>
      </w:r>
      <w:r w:rsidR="00D87E53" w:rsidRPr="00637861">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 xml:space="preserve">law’s impact once specific regulations are in place. Legal provisions not only </w:t>
      </w:r>
      <w:r w:rsidR="00D87E53" w:rsidRPr="00637861">
        <w:rPr>
          <w:rFonts w:ascii="Times New Roman" w:hAnsi="Times New Roman" w:cs="Times New Roman"/>
          <w:color w:val="000000" w:themeColor="text1"/>
        </w:rPr>
        <w:t xml:space="preserve">enjoy </w:t>
      </w:r>
      <w:r w:rsidRPr="00637861">
        <w:rPr>
          <w:rFonts w:ascii="Times New Roman" w:hAnsi="Times New Roman" w:cs="Times New Roman"/>
          <w:color w:val="000000" w:themeColor="text1"/>
        </w:rPr>
        <w:t xml:space="preserve">a special type of authority backed by laws </w:t>
      </w:r>
      <w:r w:rsidR="00D87E53">
        <w:rPr>
          <w:rFonts w:ascii="Times New Roman" w:hAnsi="Times New Roman" w:cs="Times New Roman"/>
          <w:color w:val="000000" w:themeColor="text1"/>
        </w:rPr>
        <w:t>(</w:t>
      </w:r>
      <w:r w:rsidRPr="00637861">
        <w:rPr>
          <w:rFonts w:ascii="Times New Roman" w:hAnsi="Times New Roman" w:cs="Times New Roman"/>
          <w:color w:val="000000" w:themeColor="text1"/>
        </w:rPr>
        <w:t>‘coercive force’</w:t>
      </w:r>
      <w:r w:rsidR="00D87E53">
        <w:rPr>
          <w:rFonts w:ascii="Times New Roman" w:hAnsi="Times New Roman" w:cs="Times New Roman"/>
          <w:color w:val="000000" w:themeColor="text1"/>
        </w:rPr>
        <w:t>)</w:t>
      </w:r>
      <w:r w:rsidRPr="00637861">
        <w:rPr>
          <w:rFonts w:ascii="Times New Roman" w:hAnsi="Times New Roman" w:cs="Times New Roman"/>
          <w:color w:val="000000" w:themeColor="text1"/>
        </w:rPr>
        <w:t>,</w:t>
      </w:r>
      <w:r w:rsidRPr="00637861">
        <w:rPr>
          <w:rStyle w:val="Odwoanieprzypisudolnego"/>
          <w:rFonts w:ascii="Times New Roman" w:hAnsi="Times New Roman" w:cs="Times New Roman"/>
          <w:color w:val="000000" w:themeColor="text1"/>
        </w:rPr>
        <w:footnoteReference w:id="112"/>
      </w:r>
      <w:r w:rsidRPr="00637861">
        <w:rPr>
          <w:rFonts w:ascii="Times New Roman" w:hAnsi="Times New Roman" w:cs="Times New Roman"/>
          <w:color w:val="000000" w:themeColor="text1"/>
        </w:rPr>
        <w:t xml:space="preserve"> but also shape market participants</w:t>
      </w:r>
      <w:r w:rsidR="00D87E53">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motivations and expectations</w:t>
      </w:r>
      <w:r w:rsidR="00D87E53">
        <w:rPr>
          <w:rFonts w:ascii="Times New Roman" w:hAnsi="Times New Roman" w:cs="Times New Roman"/>
          <w:color w:val="000000" w:themeColor="text1"/>
        </w:rPr>
        <w:t>,</w:t>
      </w:r>
      <w:r w:rsidRPr="00637861">
        <w:rPr>
          <w:rFonts w:ascii="Times New Roman" w:hAnsi="Times New Roman" w:cs="Times New Roman"/>
          <w:color w:val="000000" w:themeColor="text1"/>
        </w:rPr>
        <w:t xml:space="preserve"> leading to various forms of legal innovation.</w:t>
      </w:r>
      <w:r w:rsidRPr="00637861">
        <w:rPr>
          <w:rStyle w:val="Odwoanieprzypisudolnego"/>
          <w:rFonts w:ascii="Times New Roman" w:hAnsi="Times New Roman" w:cs="Times New Roman"/>
          <w:color w:val="000000" w:themeColor="text1"/>
        </w:rPr>
        <w:footnoteReference w:id="113"/>
      </w:r>
      <w:r w:rsidRPr="00637861">
        <w:rPr>
          <w:rFonts w:ascii="Times New Roman" w:hAnsi="Times New Roman" w:cs="Times New Roman"/>
          <w:color w:val="000000" w:themeColor="text1"/>
        </w:rPr>
        <w:t xml:space="preserve"> The analysis reveals that co-constitutive dynamics of sustainable law and finance </w:t>
      </w:r>
      <w:r w:rsidR="009F215F" w:rsidRPr="00637861">
        <w:rPr>
          <w:rFonts w:ascii="Times New Roman" w:hAnsi="Times New Roman" w:cs="Times New Roman"/>
          <w:color w:val="000000" w:themeColor="text1"/>
        </w:rPr>
        <w:t>are revealed</w:t>
      </w:r>
      <w:r w:rsidRPr="00637861">
        <w:rPr>
          <w:rFonts w:ascii="Times New Roman" w:hAnsi="Times New Roman" w:cs="Times New Roman"/>
          <w:color w:val="000000" w:themeColor="text1"/>
        </w:rPr>
        <w:t xml:space="preserve"> not just from the formal provisions, but </w:t>
      </w:r>
      <w:r w:rsidR="009F215F" w:rsidRPr="00637861">
        <w:rPr>
          <w:rFonts w:ascii="Times New Roman" w:hAnsi="Times New Roman" w:cs="Times New Roman"/>
          <w:color w:val="000000" w:themeColor="text1"/>
        </w:rPr>
        <w:t>in</w:t>
      </w:r>
      <w:r w:rsidRPr="00637861">
        <w:rPr>
          <w:rFonts w:ascii="Times New Roman" w:hAnsi="Times New Roman" w:cs="Times New Roman"/>
          <w:color w:val="000000" w:themeColor="text1"/>
        </w:rPr>
        <w:t xml:space="preserve"> how green finance changes the terms of interaction and </w:t>
      </w:r>
      <w:r w:rsidR="00D87E53">
        <w:rPr>
          <w:rFonts w:ascii="Times New Roman" w:hAnsi="Times New Roman" w:cs="Times New Roman"/>
          <w:color w:val="000000" w:themeColor="text1"/>
        </w:rPr>
        <w:t xml:space="preserve">the </w:t>
      </w:r>
      <w:r w:rsidRPr="00637861">
        <w:rPr>
          <w:rFonts w:ascii="Times New Roman" w:hAnsi="Times New Roman" w:cs="Times New Roman"/>
          <w:color w:val="000000" w:themeColor="text1"/>
        </w:rPr>
        <w:lastRenderedPageBreak/>
        <w:t>monitoring of behaviour over time</w:t>
      </w:r>
      <w:r w:rsidR="009F215F" w:rsidRPr="00637861">
        <w:rPr>
          <w:rFonts w:ascii="Times New Roman" w:hAnsi="Times New Roman" w:cs="Times New Roman"/>
          <w:color w:val="000000" w:themeColor="text1"/>
        </w:rPr>
        <w:t>. This finding</w:t>
      </w:r>
      <w:r w:rsidRPr="00637861">
        <w:rPr>
          <w:rFonts w:ascii="Times New Roman" w:hAnsi="Times New Roman" w:cs="Times New Roman"/>
          <w:color w:val="000000" w:themeColor="text1"/>
        </w:rPr>
        <w:t xml:space="preserve"> highlights the need for a more nuanced and dynamic legal analysis capable of capturing the intricacies of this evolving market.</w:t>
      </w:r>
      <w:r w:rsidR="001B6277">
        <w:rPr>
          <w:rFonts w:ascii="Times New Roman" w:hAnsi="Times New Roman" w:cs="Times New Roman"/>
          <w:color w:val="000000" w:themeColor="text1"/>
        </w:rPr>
        <w:t xml:space="preserve"> </w:t>
      </w:r>
      <w:r w:rsidRPr="00637861">
        <w:rPr>
          <w:rFonts w:ascii="Times New Roman" w:hAnsi="Times New Roman" w:cs="Times New Roman"/>
          <w:color w:val="000000" w:themeColor="text1"/>
        </w:rPr>
        <w:t>From this perspective, the emerging concern with greenwashing should be seen as evidence of transform</w:t>
      </w:r>
      <w:r w:rsidR="00D87E53">
        <w:rPr>
          <w:rFonts w:ascii="Times New Roman" w:hAnsi="Times New Roman" w:cs="Times New Roman"/>
          <w:color w:val="000000" w:themeColor="text1"/>
        </w:rPr>
        <w:t>ing</w:t>
      </w:r>
      <w:r w:rsidRPr="00637861">
        <w:rPr>
          <w:rFonts w:ascii="Times New Roman" w:hAnsi="Times New Roman" w:cs="Times New Roman"/>
          <w:color w:val="000000" w:themeColor="text1"/>
        </w:rPr>
        <w:t xml:space="preserve"> expectations, and not just of malpractice.</w:t>
      </w:r>
      <w:r w:rsidRPr="00637861">
        <w:rPr>
          <w:rStyle w:val="Odwoanieprzypisudolnego"/>
          <w:rFonts w:ascii="Times New Roman" w:hAnsi="Times New Roman" w:cs="Times New Roman"/>
          <w:color w:val="000000" w:themeColor="text1"/>
        </w:rPr>
        <w:footnoteReference w:id="114"/>
      </w:r>
      <w:r w:rsidRPr="00637861">
        <w:rPr>
          <w:rFonts w:ascii="Times New Roman" w:hAnsi="Times New Roman" w:cs="Times New Roman"/>
          <w:color w:val="000000" w:themeColor="text1"/>
        </w:rPr>
        <w:t xml:space="preserve"> </w:t>
      </w:r>
    </w:p>
    <w:p w14:paraId="09B5CA3E" w14:textId="59733A44" w:rsidR="006C2380" w:rsidRPr="003A62DE" w:rsidRDefault="009821B5" w:rsidP="00E07776">
      <w:pPr>
        <w:spacing w:after="120" w:line="360" w:lineRule="auto"/>
        <w:jc w:val="both"/>
        <w:rPr>
          <w:rFonts w:ascii="Times New Roman" w:hAnsi="Times New Roman" w:cs="Times New Roman"/>
        </w:rPr>
      </w:pPr>
      <w:r w:rsidRPr="00637861">
        <w:rPr>
          <w:rFonts w:ascii="Times New Roman" w:hAnsi="Times New Roman" w:cs="Times New Roman"/>
          <w:color w:val="000000" w:themeColor="text1"/>
        </w:rPr>
        <w:t>The approach elaborated in the article and its findings have implications that go beyond the green finance trend</w:t>
      </w:r>
      <w:r w:rsidR="00201B1D" w:rsidRPr="00637861">
        <w:rPr>
          <w:rFonts w:ascii="Times New Roman" w:hAnsi="Times New Roman" w:cs="Times New Roman"/>
          <w:color w:val="000000" w:themeColor="text1"/>
        </w:rPr>
        <w:t>, extend</w:t>
      </w:r>
      <w:r w:rsidR="00D87E53">
        <w:rPr>
          <w:rFonts w:ascii="Times New Roman" w:hAnsi="Times New Roman" w:cs="Times New Roman"/>
          <w:color w:val="000000" w:themeColor="text1"/>
        </w:rPr>
        <w:t>ing</w:t>
      </w:r>
      <w:r w:rsidR="00201B1D" w:rsidRPr="00637861">
        <w:rPr>
          <w:rFonts w:ascii="Times New Roman" w:hAnsi="Times New Roman" w:cs="Times New Roman"/>
          <w:color w:val="000000" w:themeColor="text1"/>
        </w:rPr>
        <w:t xml:space="preserve"> to broader integration of soci</w:t>
      </w:r>
      <w:r w:rsidR="00D87E53">
        <w:rPr>
          <w:rFonts w:ascii="Times New Roman" w:hAnsi="Times New Roman" w:cs="Times New Roman"/>
          <w:color w:val="000000" w:themeColor="text1"/>
        </w:rPr>
        <w:t>ety’s</w:t>
      </w:r>
      <w:r w:rsidR="00201B1D" w:rsidRPr="00637861">
        <w:rPr>
          <w:rFonts w:ascii="Times New Roman" w:hAnsi="Times New Roman" w:cs="Times New Roman"/>
          <w:color w:val="000000" w:themeColor="text1"/>
        </w:rPr>
        <w:t xml:space="preserve"> concerns in financial instruments. </w:t>
      </w:r>
      <w:r w:rsidR="00E07776" w:rsidRPr="00637861">
        <w:rPr>
          <w:rFonts w:ascii="Times New Roman" w:hAnsi="Times New Roman" w:cs="Times New Roman"/>
        </w:rPr>
        <w:t>First</w:t>
      </w:r>
      <w:r w:rsidR="00D87E53">
        <w:rPr>
          <w:rFonts w:ascii="Times New Roman" w:hAnsi="Times New Roman" w:cs="Times New Roman"/>
        </w:rPr>
        <w:t>ly</w:t>
      </w:r>
      <w:r w:rsidR="009D3D2F" w:rsidRPr="00637861">
        <w:rPr>
          <w:rFonts w:ascii="Times New Roman" w:hAnsi="Times New Roman" w:cs="Times New Roman"/>
        </w:rPr>
        <w:t>,</w:t>
      </w:r>
      <w:r w:rsidR="00E07776" w:rsidRPr="00637861">
        <w:rPr>
          <w:rFonts w:ascii="Times New Roman" w:hAnsi="Times New Roman" w:cs="Times New Roman"/>
        </w:rPr>
        <w:t xml:space="preserve"> they draw attention to how individual financial relationships may be leveraged to </w:t>
      </w:r>
      <w:r w:rsidR="00CA55E3" w:rsidRPr="00637861">
        <w:rPr>
          <w:rFonts w:ascii="Times New Roman" w:hAnsi="Times New Roman" w:cs="Times New Roman"/>
        </w:rPr>
        <w:t>pursue an entity-wide</w:t>
      </w:r>
      <w:r w:rsidR="009D3D2F" w:rsidRPr="00637861">
        <w:rPr>
          <w:rFonts w:ascii="Times New Roman" w:hAnsi="Times New Roman" w:cs="Times New Roman"/>
        </w:rPr>
        <w:t xml:space="preserve"> (industrial)</w:t>
      </w:r>
      <w:r w:rsidR="00CA55E3" w:rsidRPr="00637861">
        <w:rPr>
          <w:rFonts w:ascii="Times New Roman" w:hAnsi="Times New Roman" w:cs="Times New Roman"/>
        </w:rPr>
        <w:t xml:space="preserve"> transformation with regard to </w:t>
      </w:r>
      <w:r w:rsidR="00080FA8" w:rsidRPr="00637861">
        <w:rPr>
          <w:rFonts w:ascii="Times New Roman" w:hAnsi="Times New Roman" w:cs="Times New Roman"/>
        </w:rPr>
        <w:t>environmental</w:t>
      </w:r>
      <w:r w:rsidR="00D87E53">
        <w:rPr>
          <w:rFonts w:ascii="Times New Roman" w:hAnsi="Times New Roman" w:cs="Times New Roman"/>
        </w:rPr>
        <w:t xml:space="preserve"> as well as </w:t>
      </w:r>
      <w:r w:rsidR="00080FA8" w:rsidRPr="00637861">
        <w:rPr>
          <w:rFonts w:ascii="Times New Roman" w:hAnsi="Times New Roman" w:cs="Times New Roman"/>
        </w:rPr>
        <w:t>social</w:t>
      </w:r>
      <w:r w:rsidR="00CA55E3" w:rsidRPr="00637861">
        <w:rPr>
          <w:rFonts w:ascii="Times New Roman" w:hAnsi="Times New Roman" w:cs="Times New Roman"/>
        </w:rPr>
        <w:t xml:space="preserve"> </w:t>
      </w:r>
      <w:r w:rsidR="00080FA8" w:rsidRPr="00637861">
        <w:rPr>
          <w:rFonts w:ascii="Times New Roman" w:hAnsi="Times New Roman" w:cs="Times New Roman"/>
        </w:rPr>
        <w:t>considerations</w:t>
      </w:r>
      <w:r w:rsidR="00CA55E3" w:rsidRPr="00637861">
        <w:rPr>
          <w:rFonts w:ascii="Times New Roman" w:hAnsi="Times New Roman" w:cs="Times New Roman"/>
        </w:rPr>
        <w:t>. Second</w:t>
      </w:r>
      <w:r w:rsidR="00D87E53">
        <w:rPr>
          <w:rFonts w:ascii="Times New Roman" w:hAnsi="Times New Roman" w:cs="Times New Roman"/>
        </w:rPr>
        <w:t>ly</w:t>
      </w:r>
      <w:r w:rsidR="00CA55E3" w:rsidRPr="00637861">
        <w:rPr>
          <w:rFonts w:ascii="Times New Roman" w:hAnsi="Times New Roman" w:cs="Times New Roman"/>
        </w:rPr>
        <w:t xml:space="preserve">, they draw attention to the </w:t>
      </w:r>
      <w:r w:rsidR="009D3D2F" w:rsidRPr="00637861">
        <w:rPr>
          <w:rFonts w:ascii="Times New Roman" w:hAnsi="Times New Roman" w:cs="Times New Roman"/>
        </w:rPr>
        <w:t xml:space="preserve">importance of considering the secondary markets and </w:t>
      </w:r>
      <w:proofErr w:type="spellStart"/>
      <w:r w:rsidR="009D3D2F" w:rsidRPr="00637861">
        <w:rPr>
          <w:rFonts w:ascii="Times New Roman" w:hAnsi="Times New Roman" w:cs="Times New Roman"/>
        </w:rPr>
        <w:t>macrofinancial</w:t>
      </w:r>
      <w:proofErr w:type="spellEnd"/>
      <w:r w:rsidR="009D3D2F" w:rsidRPr="00637861">
        <w:rPr>
          <w:rFonts w:ascii="Times New Roman" w:hAnsi="Times New Roman" w:cs="Times New Roman"/>
        </w:rPr>
        <w:t xml:space="preserve"> regimes in understanding </w:t>
      </w:r>
      <w:r w:rsidR="00312DCF" w:rsidRPr="00637861">
        <w:rPr>
          <w:rFonts w:ascii="Times New Roman" w:hAnsi="Times New Roman" w:cs="Times New Roman"/>
        </w:rPr>
        <w:t xml:space="preserve">the co-constitutive role of </w:t>
      </w:r>
      <w:r w:rsidR="00D87E53">
        <w:rPr>
          <w:rFonts w:ascii="Times New Roman" w:hAnsi="Times New Roman" w:cs="Times New Roman"/>
        </w:rPr>
        <w:t xml:space="preserve">the </w:t>
      </w:r>
      <w:r w:rsidR="00312DCF" w:rsidRPr="00637861">
        <w:rPr>
          <w:rFonts w:ascii="Times New Roman" w:hAnsi="Times New Roman" w:cs="Times New Roman"/>
        </w:rPr>
        <w:t xml:space="preserve">law in </w:t>
      </w:r>
      <w:r w:rsidR="003318BF" w:rsidRPr="00637861">
        <w:rPr>
          <w:rFonts w:ascii="Times New Roman" w:hAnsi="Times New Roman" w:cs="Times New Roman"/>
        </w:rPr>
        <w:t>finance</w:t>
      </w:r>
      <w:r w:rsidR="00312DCF" w:rsidRPr="00637861">
        <w:rPr>
          <w:rFonts w:ascii="Times New Roman" w:hAnsi="Times New Roman" w:cs="Times New Roman"/>
        </w:rPr>
        <w:t>.</w:t>
      </w:r>
      <w:r w:rsidR="001707DC" w:rsidRPr="00637861">
        <w:rPr>
          <w:rFonts w:ascii="Times New Roman" w:hAnsi="Times New Roman" w:cs="Times New Roman"/>
        </w:rPr>
        <w:t xml:space="preserve"> Finally, they open up the possibility of different </w:t>
      </w:r>
      <w:r w:rsidR="00DC2A31" w:rsidRPr="00637861">
        <w:rPr>
          <w:rFonts w:ascii="Times New Roman" w:hAnsi="Times New Roman" w:cs="Times New Roman"/>
        </w:rPr>
        <w:t>outcomes of such co-constitutive dynamics</w:t>
      </w:r>
      <w:r w:rsidR="00F10BAC" w:rsidRPr="00637861">
        <w:rPr>
          <w:rFonts w:ascii="Times New Roman" w:hAnsi="Times New Roman" w:cs="Times New Roman"/>
        </w:rPr>
        <w:t>.</w:t>
      </w:r>
      <w:r w:rsidR="00CA55E3" w:rsidRPr="00637861">
        <w:rPr>
          <w:rFonts w:ascii="Times New Roman" w:hAnsi="Times New Roman" w:cs="Times New Roman"/>
        </w:rPr>
        <w:t xml:space="preserve"> </w:t>
      </w:r>
      <w:r w:rsidR="008F53CE">
        <w:rPr>
          <w:rFonts w:ascii="Times New Roman" w:hAnsi="Times New Roman" w:cs="Times New Roman"/>
          <w:color w:val="000000" w:themeColor="text1"/>
        </w:rPr>
        <w:t>While sustainable finance is sometimes conceived of in terms of advancing processes of relentless commodification of environment and social issues, the identified dynamics may offer avenues for engaging with the legal structuring of this phenomenon to explore alternatives to fragmentation and profit-maximisation.</w:t>
      </w:r>
    </w:p>
    <w:sectPr w:rsidR="006C2380" w:rsidRPr="003A62DE" w:rsidSect="00F9622D">
      <w:headerReference w:type="default" r:id="rId8"/>
      <w:footerReference w:type="even" r:id="rId9"/>
      <w:footerReference w:type="default" r:id="rId10"/>
      <w:endnotePr>
        <w:numFmt w:val="decimal"/>
      </w:endnotePr>
      <w:pgSz w:w="11906" w:h="16838"/>
      <w:pgMar w:top="1440" w:right="2386"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DD306B" w14:textId="77777777" w:rsidR="007F0E4F" w:rsidRPr="00637861" w:rsidRDefault="007F0E4F" w:rsidP="00CF04F1">
      <w:r w:rsidRPr="00637861">
        <w:separator/>
      </w:r>
    </w:p>
  </w:endnote>
  <w:endnote w:type="continuationSeparator" w:id="0">
    <w:p w14:paraId="38332E77" w14:textId="77777777" w:rsidR="007F0E4F" w:rsidRPr="00637861" w:rsidRDefault="007F0E4F" w:rsidP="00CF04F1">
      <w:r w:rsidRPr="00637861">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w:charset w:val="00"/>
    <w:family w:val="swiss"/>
    <w:pitch w:val="variable"/>
    <w:sig w:usb0="E00082FF" w:usb1="400078FF" w:usb2="00000021" w:usb3="00000000" w:csb0="0000019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strony"/>
      </w:rPr>
      <w:id w:val="536944807"/>
      <w:docPartObj>
        <w:docPartGallery w:val="Page Numbers (Bottom of Page)"/>
        <w:docPartUnique/>
      </w:docPartObj>
    </w:sdtPr>
    <w:sdtEndPr>
      <w:rPr>
        <w:rStyle w:val="Numerstrony"/>
      </w:rPr>
    </w:sdtEndPr>
    <w:sdtContent>
      <w:p w14:paraId="3603A78B" w14:textId="671EA6E4" w:rsidR="00401F33" w:rsidRPr="00637861" w:rsidRDefault="00401F33" w:rsidP="00D00A03">
        <w:pPr>
          <w:pStyle w:val="Stopka"/>
          <w:framePr w:wrap="none" w:vAnchor="text" w:hAnchor="margin" w:xAlign="right" w:y="1"/>
          <w:rPr>
            <w:rStyle w:val="Numerstrony"/>
          </w:rPr>
        </w:pPr>
        <w:r w:rsidRPr="00637861">
          <w:rPr>
            <w:rStyle w:val="Numerstrony"/>
          </w:rPr>
          <w:fldChar w:fldCharType="begin"/>
        </w:r>
        <w:r w:rsidRPr="00637861">
          <w:rPr>
            <w:rStyle w:val="Numerstrony"/>
          </w:rPr>
          <w:instrText xml:space="preserve"> PAGE </w:instrText>
        </w:r>
        <w:r w:rsidRPr="00637861">
          <w:rPr>
            <w:rStyle w:val="Numerstrony"/>
          </w:rPr>
          <w:fldChar w:fldCharType="separate"/>
        </w:r>
        <w:r w:rsidR="000726C0" w:rsidRPr="00637861">
          <w:rPr>
            <w:rStyle w:val="Numerstrony"/>
          </w:rPr>
          <w:t>27</w:t>
        </w:r>
        <w:r w:rsidRPr="00637861">
          <w:rPr>
            <w:rStyle w:val="Numerstrony"/>
          </w:rPr>
          <w:fldChar w:fldCharType="end"/>
        </w:r>
      </w:p>
    </w:sdtContent>
  </w:sdt>
  <w:p w14:paraId="2DD741CA" w14:textId="77777777" w:rsidR="00401F33" w:rsidRPr="00637861" w:rsidRDefault="00401F33" w:rsidP="00401F33">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strony"/>
        <w:rFonts w:ascii="Times New Roman" w:hAnsi="Times New Roman" w:cs="Times New Roman"/>
        <w:sz w:val="22"/>
        <w:szCs w:val="22"/>
      </w:rPr>
      <w:id w:val="2110305231"/>
      <w:docPartObj>
        <w:docPartGallery w:val="Page Numbers (Bottom of Page)"/>
        <w:docPartUnique/>
      </w:docPartObj>
    </w:sdtPr>
    <w:sdtEndPr>
      <w:rPr>
        <w:rStyle w:val="Numerstrony"/>
      </w:rPr>
    </w:sdtEndPr>
    <w:sdtContent>
      <w:p w14:paraId="3FEDC661" w14:textId="03C246C1" w:rsidR="00401F33" w:rsidRPr="00637861" w:rsidRDefault="00401F33" w:rsidP="00D00A03">
        <w:pPr>
          <w:pStyle w:val="Stopka"/>
          <w:framePr w:wrap="none" w:vAnchor="text" w:hAnchor="margin" w:xAlign="right" w:y="1"/>
          <w:rPr>
            <w:rStyle w:val="Numerstrony"/>
            <w:rFonts w:ascii="Times New Roman" w:hAnsi="Times New Roman" w:cs="Times New Roman"/>
            <w:sz w:val="22"/>
            <w:szCs w:val="22"/>
          </w:rPr>
        </w:pPr>
        <w:r w:rsidRPr="00637861">
          <w:rPr>
            <w:rStyle w:val="Numerstrony"/>
            <w:rFonts w:ascii="Times New Roman" w:hAnsi="Times New Roman" w:cs="Times New Roman"/>
            <w:sz w:val="22"/>
            <w:szCs w:val="22"/>
          </w:rPr>
          <w:fldChar w:fldCharType="begin"/>
        </w:r>
        <w:r w:rsidRPr="00637861">
          <w:rPr>
            <w:rStyle w:val="Numerstrony"/>
            <w:rFonts w:ascii="Times New Roman" w:hAnsi="Times New Roman" w:cs="Times New Roman"/>
            <w:sz w:val="22"/>
            <w:szCs w:val="22"/>
          </w:rPr>
          <w:instrText xml:space="preserve"> PAGE </w:instrText>
        </w:r>
        <w:r w:rsidRPr="00637861">
          <w:rPr>
            <w:rStyle w:val="Numerstrony"/>
            <w:rFonts w:ascii="Times New Roman" w:hAnsi="Times New Roman" w:cs="Times New Roman"/>
            <w:sz w:val="22"/>
            <w:szCs w:val="22"/>
          </w:rPr>
          <w:fldChar w:fldCharType="separate"/>
        </w:r>
        <w:r w:rsidRPr="00637861">
          <w:rPr>
            <w:rStyle w:val="Numerstrony"/>
            <w:rFonts w:ascii="Times New Roman" w:hAnsi="Times New Roman" w:cs="Times New Roman"/>
            <w:sz w:val="22"/>
            <w:szCs w:val="22"/>
          </w:rPr>
          <w:t>1</w:t>
        </w:r>
        <w:r w:rsidRPr="00637861">
          <w:rPr>
            <w:rStyle w:val="Numerstrony"/>
            <w:rFonts w:ascii="Times New Roman" w:hAnsi="Times New Roman" w:cs="Times New Roman"/>
            <w:sz w:val="22"/>
            <w:szCs w:val="22"/>
          </w:rPr>
          <w:fldChar w:fldCharType="end"/>
        </w:r>
      </w:p>
    </w:sdtContent>
  </w:sdt>
  <w:p w14:paraId="7E5C8F2E" w14:textId="77777777" w:rsidR="00401F33" w:rsidRPr="00637861" w:rsidRDefault="00401F33" w:rsidP="00401F33">
    <w:pPr>
      <w:pStyle w:val="Stopka"/>
      <w:ind w:right="360"/>
      <w:rPr>
        <w:rFonts w:ascii="Times New Roman" w:hAnsi="Times New Roman" w:cs="Times New Roman"/>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AB6197" w14:textId="77777777" w:rsidR="007F0E4F" w:rsidRPr="00637861" w:rsidRDefault="007F0E4F" w:rsidP="00CF04F1">
      <w:r w:rsidRPr="00637861">
        <w:separator/>
      </w:r>
    </w:p>
  </w:footnote>
  <w:footnote w:type="continuationSeparator" w:id="0">
    <w:p w14:paraId="4621F006" w14:textId="77777777" w:rsidR="007F0E4F" w:rsidRPr="00637861" w:rsidRDefault="007F0E4F" w:rsidP="00CF04F1">
      <w:r w:rsidRPr="00637861">
        <w:continuationSeparator/>
      </w:r>
    </w:p>
  </w:footnote>
  <w:footnote w:id="1">
    <w:p w14:paraId="371CBED5" w14:textId="34CA15D9" w:rsidR="00E118C3" w:rsidRPr="00BF3409" w:rsidRDefault="00E118C3"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sym w:font="Symbol" w:char="F02A"/>
      </w:r>
      <w:r w:rsidRPr="00BF3409">
        <w:rPr>
          <w:rFonts w:ascii="Times New Roman" w:hAnsi="Times New Roman" w:cs="Times New Roman"/>
          <w:sz w:val="18"/>
          <w:szCs w:val="18"/>
        </w:rPr>
        <w:t xml:space="preserve"> </w:t>
      </w:r>
      <w:r w:rsidRPr="00BF3409">
        <w:rPr>
          <w:rFonts w:ascii="Times New Roman" w:hAnsi="Times New Roman" w:cs="Times New Roman"/>
          <w:color w:val="000000" w:themeColor="text1"/>
          <w:sz w:val="18"/>
          <w:szCs w:val="18"/>
        </w:rPr>
        <w:t>Assistant Professor, Institute of Law Studies, Polish Academy of Sciences; Senior Policy Fellow, Centre for Economic Transition Expertise, London School of Economics.</w:t>
      </w:r>
      <w:r w:rsidR="006142E6">
        <w:rPr>
          <w:rFonts w:ascii="Times New Roman" w:hAnsi="Times New Roman" w:cs="Times New Roman"/>
          <w:color w:val="000000" w:themeColor="text1"/>
          <w:sz w:val="18"/>
          <w:szCs w:val="18"/>
        </w:rPr>
        <w:t xml:space="preserve"> </w:t>
      </w:r>
      <w:r w:rsidR="006142E6" w:rsidRPr="006142E6">
        <w:rPr>
          <w:rFonts w:ascii="Times New Roman" w:hAnsi="Times New Roman" w:cs="Times New Roman"/>
          <w:color w:val="000000" w:themeColor="text1"/>
          <w:sz w:val="18"/>
          <w:szCs w:val="18"/>
        </w:rPr>
        <w:t>Research for this article was supported by National Science Centre, Poland under grant agreement UMO-2021/40/C/HS5/00134.</w:t>
      </w:r>
    </w:p>
  </w:footnote>
  <w:footnote w:id="2">
    <w:p w14:paraId="6A98CF9C" w14:textId="11B8DE58"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t>
      </w:r>
      <w:r w:rsidR="00354D21" w:rsidRPr="00BF3409">
        <w:rPr>
          <w:rFonts w:ascii="Times New Roman" w:hAnsi="Times New Roman" w:cs="Times New Roman"/>
          <w:color w:val="000000" w:themeColor="text1"/>
          <w:sz w:val="18"/>
          <w:szCs w:val="18"/>
        </w:rPr>
        <w:t xml:space="preserve">The framework </w:t>
      </w:r>
      <w:r w:rsidRPr="00BF3409">
        <w:rPr>
          <w:rFonts w:ascii="Times New Roman" w:hAnsi="Times New Roman" w:cs="Times New Roman"/>
          <w:color w:val="000000" w:themeColor="text1"/>
          <w:sz w:val="18"/>
          <w:szCs w:val="18"/>
        </w:rPr>
        <w:t xml:space="preserve">was developed together with the World Bank and certified by Cicero. </w:t>
      </w:r>
      <w:proofErr w:type="spellStart"/>
      <w:r w:rsidRPr="00BF3409">
        <w:rPr>
          <w:rFonts w:ascii="Times New Roman" w:hAnsi="Times New Roman" w:cs="Times New Roman"/>
          <w:color w:val="000000" w:themeColor="text1"/>
          <w:sz w:val="18"/>
          <w:szCs w:val="18"/>
        </w:rPr>
        <w:t>Vasakronan</w:t>
      </w:r>
      <w:proofErr w:type="spellEnd"/>
      <w:r w:rsidRPr="00BF3409">
        <w:rPr>
          <w:rFonts w:ascii="Times New Roman" w:hAnsi="Times New Roman" w:cs="Times New Roman"/>
          <w:color w:val="000000" w:themeColor="text1"/>
          <w:sz w:val="18"/>
          <w:szCs w:val="18"/>
        </w:rPr>
        <w:t>, ‘</w:t>
      </w:r>
      <w:proofErr w:type="spellStart"/>
      <w:r w:rsidRPr="00BF3409">
        <w:rPr>
          <w:rFonts w:ascii="Times New Roman" w:hAnsi="Times New Roman" w:cs="Times New Roman"/>
          <w:color w:val="000000" w:themeColor="text1"/>
          <w:sz w:val="18"/>
          <w:szCs w:val="18"/>
        </w:rPr>
        <w:t>Vasakronan</w:t>
      </w:r>
      <w:proofErr w:type="spellEnd"/>
      <w:r w:rsidRPr="00BF3409">
        <w:rPr>
          <w:rFonts w:ascii="Times New Roman" w:hAnsi="Times New Roman" w:cs="Times New Roman"/>
          <w:color w:val="000000" w:themeColor="text1"/>
          <w:sz w:val="18"/>
          <w:szCs w:val="18"/>
        </w:rPr>
        <w:t xml:space="preserve"> issues the world’s first green corporate bond’ (</w:t>
      </w:r>
      <w:proofErr w:type="spellStart"/>
      <w:r w:rsidRPr="00BF3409">
        <w:rPr>
          <w:rFonts w:ascii="Times New Roman" w:hAnsi="Times New Roman" w:cs="Times New Roman"/>
          <w:color w:val="000000" w:themeColor="text1"/>
          <w:sz w:val="18"/>
          <w:szCs w:val="18"/>
        </w:rPr>
        <w:t>Vasakronan</w:t>
      </w:r>
      <w:proofErr w:type="spellEnd"/>
      <w:r w:rsidRPr="00BF3409">
        <w:rPr>
          <w:rFonts w:ascii="Times New Roman" w:hAnsi="Times New Roman" w:cs="Times New Roman"/>
          <w:color w:val="000000" w:themeColor="text1"/>
          <w:sz w:val="18"/>
          <w:szCs w:val="18"/>
        </w:rPr>
        <w:t>, 18 November 2013) https://vasakronan.se/pressmeddelande/vasakronan-issues-the-worlds-first-green-corporate-bond</w:t>
      </w:r>
      <w:r w:rsidR="00354D2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accessed 8 July 2024.</w:t>
      </w:r>
    </w:p>
  </w:footnote>
  <w:footnote w:id="3">
    <w:p w14:paraId="7C95FB7F" w14:textId="52E7B039"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ENEL, ‘Sustainability-linked finance’ (ENEL, 2019) https://www.enel.com/investors/investing/sustainable-finance/sustainability-linked-finance/sustainability-linked-bonds</w:t>
      </w:r>
      <w:r w:rsidR="00354D2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accessed 8 July 2024.</w:t>
      </w:r>
    </w:p>
  </w:footnote>
  <w:footnote w:id="4">
    <w:p w14:paraId="7B2B842F" w14:textId="463D3301"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OECD, </w:t>
      </w:r>
      <w:r w:rsidRPr="00BF3409">
        <w:rPr>
          <w:rFonts w:ascii="Times New Roman" w:hAnsi="Times New Roman" w:cs="Times New Roman"/>
          <w:i/>
          <w:iCs/>
          <w:color w:val="000000" w:themeColor="text1"/>
          <w:sz w:val="18"/>
          <w:szCs w:val="18"/>
        </w:rPr>
        <w:t xml:space="preserve">Global Debt Report 2024: Bond Markets in a High-Debt Environment </w:t>
      </w:r>
      <w:r w:rsidR="00BF1E7A" w:rsidRPr="00BF3409">
        <w:rPr>
          <w:rFonts w:ascii="Times New Roman" w:hAnsi="Times New Roman" w:cs="Times New Roman"/>
          <w:color w:val="000000" w:themeColor="text1"/>
          <w:sz w:val="18"/>
          <w:szCs w:val="18"/>
        </w:rPr>
        <w:t xml:space="preserve">(Paris: OECD, </w:t>
      </w:r>
      <w:r w:rsidR="004542A0" w:rsidRPr="00BF3409">
        <w:rPr>
          <w:rFonts w:ascii="Times New Roman" w:hAnsi="Times New Roman" w:cs="Times New Roman"/>
          <w:color w:val="000000" w:themeColor="text1"/>
          <w:sz w:val="18"/>
          <w:szCs w:val="18"/>
        </w:rPr>
        <w:t>2024</w:t>
      </w:r>
      <w:r w:rsidR="00BF1E7A" w:rsidRPr="00BF3409">
        <w:rPr>
          <w:rFonts w:ascii="Times New Roman" w:hAnsi="Times New Roman" w:cs="Times New Roman"/>
          <w:color w:val="000000" w:themeColor="text1"/>
          <w:sz w:val="18"/>
          <w:szCs w:val="18"/>
        </w:rPr>
        <w:t>)</w:t>
      </w:r>
      <w:r w:rsidR="004542A0"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Note</w:t>
      </w:r>
      <w:r w:rsidR="00354D2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however</w:t>
      </w:r>
      <w:r w:rsidR="00354D2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the significant differences among jurisdictions.</w:t>
      </w:r>
    </w:p>
  </w:footnote>
  <w:footnote w:id="5">
    <w:p w14:paraId="393666ED" w14:textId="34DA80E9" w:rsidR="008B50D1" w:rsidRPr="00BF3409" w:rsidRDefault="008B50D1" w:rsidP="00E118C3">
      <w:pPr>
        <w:pStyle w:val="NormalnyWeb"/>
        <w:spacing w:before="0" w:beforeAutospacing="0" w:after="0" w:afterAutospacing="0"/>
        <w:rPr>
          <w:sz w:val="18"/>
          <w:szCs w:val="18"/>
        </w:rPr>
      </w:pPr>
      <w:r w:rsidRPr="00BF3409">
        <w:rPr>
          <w:rStyle w:val="Odwoanieprzypisudolnego"/>
          <w:color w:val="000000" w:themeColor="text1"/>
          <w:sz w:val="18"/>
          <w:szCs w:val="18"/>
        </w:rPr>
        <w:footnoteRef/>
      </w:r>
      <w:r w:rsidRPr="00BF3409">
        <w:rPr>
          <w:color w:val="000000" w:themeColor="text1"/>
          <w:sz w:val="18"/>
          <w:szCs w:val="18"/>
        </w:rPr>
        <w:t xml:space="preserve"> Recent empirical evidence provides mixed insights as to the ESG performance impact of sustainable debt. See </w:t>
      </w:r>
      <w:r w:rsidR="00354D21" w:rsidRPr="00BF3409">
        <w:rPr>
          <w:color w:val="000000" w:themeColor="text1"/>
          <w:sz w:val="18"/>
          <w:szCs w:val="18"/>
        </w:rPr>
        <w:t>e.g.</w:t>
      </w:r>
      <w:r w:rsidRPr="00BF3409">
        <w:rPr>
          <w:color w:val="000000" w:themeColor="text1"/>
          <w:sz w:val="18"/>
          <w:szCs w:val="18"/>
        </w:rPr>
        <w:t xml:space="preserve"> </w:t>
      </w:r>
      <w:r w:rsidRPr="00BF3409">
        <w:rPr>
          <w:sz w:val="18"/>
          <w:szCs w:val="18"/>
        </w:rPr>
        <w:t xml:space="preserve">Julian </w:t>
      </w:r>
      <w:proofErr w:type="spellStart"/>
      <w:r w:rsidRPr="00BF3409">
        <w:rPr>
          <w:sz w:val="18"/>
          <w:szCs w:val="18"/>
        </w:rPr>
        <w:t>Kölbel</w:t>
      </w:r>
      <w:proofErr w:type="spellEnd"/>
      <w:r w:rsidRPr="00BF3409">
        <w:rPr>
          <w:sz w:val="18"/>
          <w:szCs w:val="18"/>
        </w:rPr>
        <w:t xml:space="preserve"> and Adrien-Paul </w:t>
      </w:r>
      <w:proofErr w:type="spellStart"/>
      <w:r w:rsidRPr="00BF3409">
        <w:rPr>
          <w:sz w:val="18"/>
          <w:szCs w:val="18"/>
        </w:rPr>
        <w:t>Lambillon</w:t>
      </w:r>
      <w:proofErr w:type="spellEnd"/>
      <w:r w:rsidRPr="00BF3409">
        <w:rPr>
          <w:sz w:val="18"/>
          <w:szCs w:val="18"/>
        </w:rPr>
        <w:t xml:space="preserve">, ‘Who Pays for Sustainability? An Analysis of Sustainability-Linked Bonds’ (2022) </w:t>
      </w:r>
      <w:r w:rsidRPr="00BF3409">
        <w:rPr>
          <w:rStyle w:val="Uwydatnienie"/>
          <w:sz w:val="18"/>
          <w:szCs w:val="18"/>
        </w:rPr>
        <w:t>Swiss Finance Institute Research Paper</w:t>
      </w:r>
      <w:r w:rsidRPr="00BF3409">
        <w:rPr>
          <w:sz w:val="18"/>
          <w:szCs w:val="18"/>
        </w:rPr>
        <w:t xml:space="preserve"> 23-07</w:t>
      </w:r>
      <w:r w:rsidR="00354D21" w:rsidRPr="00BF3409">
        <w:rPr>
          <w:sz w:val="18"/>
          <w:szCs w:val="18"/>
        </w:rPr>
        <w:t xml:space="preserve">; </w:t>
      </w:r>
      <w:r w:rsidRPr="00BF3409">
        <w:rPr>
          <w:sz w:val="18"/>
          <w:szCs w:val="18"/>
        </w:rPr>
        <w:t xml:space="preserve">Aleksander </w:t>
      </w:r>
      <w:proofErr w:type="spellStart"/>
      <w:r w:rsidRPr="00BF3409">
        <w:rPr>
          <w:sz w:val="18"/>
          <w:szCs w:val="18"/>
        </w:rPr>
        <w:t>Aleszczyk</w:t>
      </w:r>
      <w:proofErr w:type="spellEnd"/>
      <w:r w:rsidRPr="00BF3409">
        <w:rPr>
          <w:sz w:val="18"/>
          <w:szCs w:val="18"/>
        </w:rPr>
        <w:t xml:space="preserve">, Maria </w:t>
      </w:r>
      <w:proofErr w:type="spellStart"/>
      <w:r w:rsidRPr="00BF3409">
        <w:rPr>
          <w:sz w:val="18"/>
          <w:szCs w:val="18"/>
        </w:rPr>
        <w:t>Loumioti</w:t>
      </w:r>
      <w:proofErr w:type="spellEnd"/>
      <w:r w:rsidRPr="00BF3409">
        <w:rPr>
          <w:sz w:val="18"/>
          <w:szCs w:val="18"/>
        </w:rPr>
        <w:t xml:space="preserve"> and George </w:t>
      </w:r>
      <w:proofErr w:type="spellStart"/>
      <w:r w:rsidRPr="00BF3409">
        <w:rPr>
          <w:sz w:val="18"/>
          <w:szCs w:val="18"/>
        </w:rPr>
        <w:t>Serafeim</w:t>
      </w:r>
      <w:proofErr w:type="spellEnd"/>
      <w:r w:rsidRPr="00BF3409">
        <w:rPr>
          <w:sz w:val="18"/>
          <w:szCs w:val="18"/>
        </w:rPr>
        <w:t>, ‘The Issuance and Design of Sustainability-Linked Loans’ (</w:t>
      </w:r>
      <w:r w:rsidR="00390D5F" w:rsidRPr="00BF3409">
        <w:rPr>
          <w:sz w:val="18"/>
          <w:szCs w:val="18"/>
        </w:rPr>
        <w:t xml:space="preserve">2022) </w:t>
      </w:r>
      <w:r w:rsidR="00181F81" w:rsidRPr="00BF3409">
        <w:rPr>
          <w:i/>
          <w:iCs/>
          <w:sz w:val="18"/>
          <w:szCs w:val="18"/>
        </w:rPr>
        <w:t xml:space="preserve">NYU Stern </w:t>
      </w:r>
      <w:r w:rsidRPr="00BF3409">
        <w:rPr>
          <w:i/>
          <w:iCs/>
          <w:sz w:val="18"/>
          <w:szCs w:val="18"/>
        </w:rPr>
        <w:t>Working Paper</w:t>
      </w:r>
      <w:r w:rsidRPr="00BF3409">
        <w:rPr>
          <w:sz w:val="18"/>
          <w:szCs w:val="18"/>
        </w:rPr>
        <w:t>.</w:t>
      </w:r>
    </w:p>
  </w:footnote>
  <w:footnote w:id="6">
    <w:p w14:paraId="67DE34F5" w14:textId="21736B5D"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Elizabeth </w:t>
      </w:r>
      <w:proofErr w:type="spellStart"/>
      <w:r w:rsidRPr="00BF3409">
        <w:rPr>
          <w:rFonts w:ascii="Times New Roman" w:hAnsi="Times New Roman" w:cs="Times New Roman"/>
          <w:sz w:val="18"/>
          <w:szCs w:val="18"/>
        </w:rPr>
        <w:t>Pollman</w:t>
      </w:r>
      <w:proofErr w:type="spellEnd"/>
      <w:r w:rsidRPr="00BF3409">
        <w:rPr>
          <w:rFonts w:ascii="Times New Roman" w:hAnsi="Times New Roman" w:cs="Times New Roman"/>
          <w:sz w:val="18"/>
          <w:szCs w:val="18"/>
        </w:rPr>
        <w:t xml:space="preserve">, </w:t>
      </w:r>
      <w:r w:rsidR="00BF1E7A" w:rsidRPr="00BF3409">
        <w:rPr>
          <w:rFonts w:ascii="Times New Roman" w:hAnsi="Times New Roman" w:cs="Times New Roman"/>
          <w:sz w:val="18"/>
          <w:szCs w:val="18"/>
        </w:rPr>
        <w:t>‘</w:t>
      </w:r>
      <w:r w:rsidRPr="00BF3409">
        <w:rPr>
          <w:rFonts w:ascii="Times New Roman" w:hAnsi="Times New Roman" w:cs="Times New Roman"/>
          <w:sz w:val="18"/>
          <w:szCs w:val="18"/>
        </w:rPr>
        <w:t>The Making of ESG</w:t>
      </w:r>
      <w:r w:rsidR="00BF1E7A" w:rsidRPr="00BF3409">
        <w:rPr>
          <w:rFonts w:ascii="Times New Roman" w:hAnsi="Times New Roman" w:cs="Times New Roman"/>
          <w:sz w:val="18"/>
          <w:szCs w:val="18"/>
        </w:rPr>
        <w:t>’ (2022)</w:t>
      </w:r>
      <w:r w:rsidRPr="00BF3409">
        <w:rPr>
          <w:rFonts w:ascii="Times New Roman" w:hAnsi="Times New Roman" w:cs="Times New Roman"/>
          <w:sz w:val="18"/>
          <w:szCs w:val="18"/>
        </w:rPr>
        <w:t xml:space="preserve"> </w:t>
      </w:r>
      <w:r w:rsidRPr="00BF3409">
        <w:rPr>
          <w:rFonts w:ascii="Times New Roman" w:hAnsi="Times New Roman" w:cs="Times New Roman"/>
          <w:i/>
          <w:iCs/>
          <w:sz w:val="18"/>
          <w:szCs w:val="18"/>
        </w:rPr>
        <w:t>ECGI Working Paper</w:t>
      </w:r>
      <w:r w:rsidRPr="00BF3409">
        <w:rPr>
          <w:rFonts w:ascii="Times New Roman" w:hAnsi="Times New Roman" w:cs="Times New Roman"/>
          <w:sz w:val="18"/>
          <w:szCs w:val="18"/>
        </w:rPr>
        <w:t xml:space="preserve"> 656/2022</w:t>
      </w:r>
      <w:r w:rsidR="00354D21" w:rsidRPr="00BF3409">
        <w:rPr>
          <w:rFonts w:ascii="Times New Roman" w:hAnsi="Times New Roman" w:cs="Times New Roman"/>
          <w:sz w:val="18"/>
          <w:szCs w:val="18"/>
        </w:rPr>
        <w:t xml:space="preserve">; </w:t>
      </w:r>
      <w:r w:rsidRPr="00BF3409">
        <w:rPr>
          <w:rFonts w:ascii="Times New Roman" w:hAnsi="Times New Roman" w:cs="Times New Roman"/>
          <w:sz w:val="18"/>
          <w:szCs w:val="18"/>
        </w:rPr>
        <w:t xml:space="preserve">Alex Edmans, ‘The </w:t>
      </w:r>
      <w:r w:rsidR="00354D21" w:rsidRPr="00BF3409">
        <w:rPr>
          <w:rFonts w:ascii="Times New Roman" w:hAnsi="Times New Roman" w:cs="Times New Roman"/>
          <w:sz w:val="18"/>
          <w:szCs w:val="18"/>
        </w:rPr>
        <w:t xml:space="preserve">End </w:t>
      </w:r>
      <w:r w:rsidRPr="00BF3409">
        <w:rPr>
          <w:rFonts w:ascii="Times New Roman" w:hAnsi="Times New Roman" w:cs="Times New Roman"/>
          <w:sz w:val="18"/>
          <w:szCs w:val="18"/>
        </w:rPr>
        <w:t xml:space="preserve">of ESG’ (2023) 52 </w:t>
      </w:r>
      <w:r w:rsidRPr="00BF3409">
        <w:rPr>
          <w:rFonts w:ascii="Times New Roman" w:hAnsi="Times New Roman" w:cs="Times New Roman"/>
          <w:i/>
          <w:iCs/>
          <w:sz w:val="18"/>
          <w:szCs w:val="18"/>
        </w:rPr>
        <w:t>Financial Management</w:t>
      </w:r>
      <w:r w:rsidRPr="00BF3409">
        <w:rPr>
          <w:rFonts w:ascii="Times New Roman" w:hAnsi="Times New Roman" w:cs="Times New Roman"/>
          <w:sz w:val="18"/>
          <w:szCs w:val="18"/>
        </w:rPr>
        <w:t xml:space="preserve"> 3, 3–17.</w:t>
      </w:r>
    </w:p>
  </w:footnote>
  <w:footnote w:id="7">
    <w:p w14:paraId="53DD348A" w14:textId="56652EEB"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Katharina </w:t>
      </w:r>
      <w:proofErr w:type="spellStart"/>
      <w:r w:rsidRPr="00BF3409">
        <w:rPr>
          <w:rFonts w:ascii="Times New Roman" w:hAnsi="Times New Roman" w:cs="Times New Roman"/>
          <w:sz w:val="18"/>
          <w:szCs w:val="18"/>
        </w:rPr>
        <w:t>Pistor</w:t>
      </w:r>
      <w:proofErr w:type="spellEnd"/>
      <w:r w:rsidRPr="00BF3409">
        <w:rPr>
          <w:rFonts w:ascii="Times New Roman" w:hAnsi="Times New Roman" w:cs="Times New Roman"/>
          <w:sz w:val="18"/>
          <w:szCs w:val="18"/>
        </w:rPr>
        <w:t xml:space="preserve">, </w:t>
      </w:r>
      <w:r w:rsidRPr="00BF3409">
        <w:rPr>
          <w:rFonts w:ascii="Times New Roman" w:hAnsi="Times New Roman" w:cs="Times New Roman"/>
          <w:i/>
          <w:iCs/>
          <w:sz w:val="18"/>
          <w:szCs w:val="18"/>
        </w:rPr>
        <w:t>The Code of Capital: How the Law Creates Wealth and Inequality</w:t>
      </w:r>
      <w:r w:rsidRPr="00BF3409">
        <w:rPr>
          <w:rFonts w:ascii="Times New Roman" w:hAnsi="Times New Roman" w:cs="Times New Roman"/>
          <w:sz w:val="18"/>
          <w:szCs w:val="18"/>
        </w:rPr>
        <w:t xml:space="preserve"> (Princeton</w:t>
      </w:r>
      <w:r w:rsidR="00354D21" w:rsidRPr="00BF3409">
        <w:rPr>
          <w:rFonts w:ascii="Times New Roman" w:hAnsi="Times New Roman" w:cs="Times New Roman"/>
          <w:sz w:val="18"/>
          <w:szCs w:val="18"/>
        </w:rPr>
        <w:t xml:space="preserve">: </w:t>
      </w:r>
      <w:r w:rsidRPr="00BF3409">
        <w:rPr>
          <w:rFonts w:ascii="Times New Roman" w:hAnsi="Times New Roman" w:cs="Times New Roman"/>
          <w:sz w:val="18"/>
          <w:szCs w:val="18"/>
        </w:rPr>
        <w:t>Princeton</w:t>
      </w:r>
      <w:r w:rsidR="00B823A0" w:rsidRPr="00BF3409">
        <w:rPr>
          <w:rFonts w:ascii="Times New Roman" w:hAnsi="Times New Roman" w:cs="Times New Roman"/>
          <w:sz w:val="18"/>
          <w:szCs w:val="18"/>
        </w:rPr>
        <w:t xml:space="preserve"> University Press</w:t>
      </w:r>
      <w:r w:rsidR="00354D21" w:rsidRPr="00BF3409">
        <w:rPr>
          <w:rFonts w:ascii="Times New Roman" w:hAnsi="Times New Roman" w:cs="Times New Roman"/>
          <w:sz w:val="18"/>
          <w:szCs w:val="18"/>
        </w:rPr>
        <w:t>,</w:t>
      </w:r>
      <w:r w:rsidRPr="00BF3409">
        <w:rPr>
          <w:rFonts w:ascii="Times New Roman" w:hAnsi="Times New Roman" w:cs="Times New Roman"/>
          <w:sz w:val="18"/>
          <w:szCs w:val="18"/>
        </w:rPr>
        <w:t xml:space="preserve"> 2019</w:t>
      </w:r>
      <w:r w:rsidR="00354D21" w:rsidRPr="00BF3409">
        <w:rPr>
          <w:rFonts w:ascii="Times New Roman" w:hAnsi="Times New Roman" w:cs="Times New Roman"/>
          <w:sz w:val="18"/>
          <w:szCs w:val="18"/>
        </w:rPr>
        <w:t xml:space="preserve">); </w:t>
      </w:r>
      <w:r w:rsidRPr="00BF3409">
        <w:rPr>
          <w:rFonts w:ascii="Times New Roman" w:hAnsi="Times New Roman" w:cs="Times New Roman"/>
          <w:sz w:val="18"/>
          <w:szCs w:val="18"/>
        </w:rPr>
        <w:t xml:space="preserve">Anna Chadwick, Marco Goldoni, </w:t>
      </w:r>
      <w:proofErr w:type="spellStart"/>
      <w:r w:rsidRPr="00BF3409">
        <w:rPr>
          <w:rFonts w:ascii="Times New Roman" w:hAnsi="Times New Roman" w:cs="Times New Roman"/>
          <w:sz w:val="18"/>
          <w:szCs w:val="18"/>
        </w:rPr>
        <w:t>Iagê</w:t>
      </w:r>
      <w:proofErr w:type="spellEnd"/>
      <w:r w:rsidRPr="00BF3409">
        <w:rPr>
          <w:rFonts w:ascii="Times New Roman" w:hAnsi="Times New Roman" w:cs="Times New Roman"/>
          <w:sz w:val="18"/>
          <w:szCs w:val="18"/>
        </w:rPr>
        <w:t xml:space="preserve"> </w:t>
      </w:r>
      <w:proofErr w:type="spellStart"/>
      <w:r w:rsidRPr="00BF3409">
        <w:rPr>
          <w:rFonts w:ascii="Times New Roman" w:hAnsi="Times New Roman" w:cs="Times New Roman"/>
          <w:sz w:val="18"/>
          <w:szCs w:val="18"/>
        </w:rPr>
        <w:t>Miola</w:t>
      </w:r>
      <w:proofErr w:type="spellEnd"/>
      <w:r w:rsidRPr="00BF3409">
        <w:rPr>
          <w:rFonts w:ascii="Times New Roman" w:hAnsi="Times New Roman" w:cs="Times New Roman"/>
          <w:sz w:val="18"/>
          <w:szCs w:val="18"/>
        </w:rPr>
        <w:t xml:space="preserve">, Sol </w:t>
      </w:r>
      <w:proofErr w:type="spellStart"/>
      <w:r w:rsidRPr="00BF3409">
        <w:rPr>
          <w:rFonts w:ascii="Times New Roman" w:hAnsi="Times New Roman" w:cs="Times New Roman"/>
          <w:sz w:val="18"/>
          <w:szCs w:val="18"/>
        </w:rPr>
        <w:t>Picciotto</w:t>
      </w:r>
      <w:proofErr w:type="spellEnd"/>
      <w:r w:rsidRPr="00BF3409">
        <w:rPr>
          <w:rFonts w:ascii="Times New Roman" w:hAnsi="Times New Roman" w:cs="Times New Roman"/>
          <w:sz w:val="18"/>
          <w:szCs w:val="18"/>
        </w:rPr>
        <w:t xml:space="preserve"> and Katharina </w:t>
      </w:r>
      <w:proofErr w:type="spellStart"/>
      <w:r w:rsidRPr="00BF3409">
        <w:rPr>
          <w:rFonts w:ascii="Times New Roman" w:hAnsi="Times New Roman" w:cs="Times New Roman"/>
          <w:sz w:val="18"/>
          <w:szCs w:val="18"/>
        </w:rPr>
        <w:t>Pistor</w:t>
      </w:r>
      <w:proofErr w:type="spellEnd"/>
      <w:r w:rsidRPr="00BF3409">
        <w:rPr>
          <w:rFonts w:ascii="Times New Roman" w:hAnsi="Times New Roman" w:cs="Times New Roman"/>
          <w:sz w:val="18"/>
          <w:szCs w:val="18"/>
        </w:rPr>
        <w:t xml:space="preserve">, ‘Katharina </w:t>
      </w:r>
      <w:proofErr w:type="spellStart"/>
      <w:r w:rsidRPr="00BF3409">
        <w:rPr>
          <w:rFonts w:ascii="Times New Roman" w:hAnsi="Times New Roman" w:cs="Times New Roman"/>
          <w:sz w:val="18"/>
          <w:szCs w:val="18"/>
        </w:rPr>
        <w:t>Pistor’s</w:t>
      </w:r>
      <w:proofErr w:type="spellEnd"/>
      <w:r w:rsidRPr="00BF3409">
        <w:rPr>
          <w:rFonts w:ascii="Times New Roman" w:hAnsi="Times New Roman" w:cs="Times New Roman"/>
          <w:sz w:val="18"/>
          <w:szCs w:val="18"/>
        </w:rPr>
        <w:t xml:space="preserve"> </w:t>
      </w:r>
      <w:r w:rsidR="00354D21" w:rsidRPr="00BF3409">
        <w:rPr>
          <w:rFonts w:ascii="Times New Roman" w:hAnsi="Times New Roman" w:cs="Times New Roman"/>
          <w:sz w:val="18"/>
          <w:szCs w:val="18"/>
        </w:rPr>
        <w:t>“</w:t>
      </w:r>
      <w:r w:rsidRPr="00BF3409">
        <w:rPr>
          <w:rFonts w:ascii="Times New Roman" w:hAnsi="Times New Roman" w:cs="Times New Roman"/>
          <w:sz w:val="18"/>
          <w:szCs w:val="18"/>
        </w:rPr>
        <w:t>The Code of Capital: How the Law Creates Wealth and Inequality</w:t>
      </w:r>
      <w:r w:rsidR="00354D21" w:rsidRPr="00BF3409">
        <w:rPr>
          <w:rFonts w:ascii="Times New Roman" w:hAnsi="Times New Roman" w:cs="Times New Roman"/>
          <w:sz w:val="18"/>
          <w:szCs w:val="18"/>
        </w:rPr>
        <w:t>”</w:t>
      </w:r>
      <w:r w:rsidRPr="00BF3409">
        <w:rPr>
          <w:rFonts w:ascii="Times New Roman" w:hAnsi="Times New Roman" w:cs="Times New Roman"/>
          <w:sz w:val="18"/>
          <w:szCs w:val="18"/>
        </w:rPr>
        <w:t xml:space="preserve">’ (2021) 30 </w:t>
      </w:r>
      <w:r w:rsidRPr="00BF3409">
        <w:rPr>
          <w:rFonts w:ascii="Times New Roman" w:hAnsi="Times New Roman" w:cs="Times New Roman"/>
          <w:i/>
          <w:iCs/>
          <w:sz w:val="18"/>
          <w:szCs w:val="18"/>
        </w:rPr>
        <w:t xml:space="preserve">Social and Legal Studies </w:t>
      </w:r>
      <w:r w:rsidRPr="00BF3409">
        <w:rPr>
          <w:rFonts w:ascii="Times New Roman" w:hAnsi="Times New Roman" w:cs="Times New Roman"/>
          <w:sz w:val="18"/>
          <w:szCs w:val="18"/>
        </w:rPr>
        <w:t>291–326.</w:t>
      </w:r>
    </w:p>
  </w:footnote>
  <w:footnote w:id="8">
    <w:p w14:paraId="777B0162" w14:textId="57DFED5F"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Saga Eriksson, ‘The Centrality of Law for EU Sustainable Finance Markets: Outlining a Research Agenda’ (2024) 33 </w:t>
      </w:r>
      <w:r w:rsidRPr="00BF3409">
        <w:rPr>
          <w:rFonts w:ascii="Times New Roman" w:hAnsi="Times New Roman" w:cs="Times New Roman"/>
          <w:i/>
          <w:iCs/>
          <w:color w:val="000000" w:themeColor="text1"/>
          <w:sz w:val="18"/>
          <w:szCs w:val="18"/>
        </w:rPr>
        <w:t xml:space="preserve">Review of European, Comparative &amp; International Environmental Law </w:t>
      </w:r>
      <w:r w:rsidRPr="00BF3409">
        <w:rPr>
          <w:rFonts w:ascii="Times New Roman" w:hAnsi="Times New Roman" w:cs="Times New Roman"/>
          <w:color w:val="000000" w:themeColor="text1"/>
          <w:sz w:val="18"/>
          <w:szCs w:val="18"/>
        </w:rPr>
        <w:t xml:space="preserve">1, 57; see also, critically on the potential of capitalist law to extend to sustainability concerns, Katharina </w:t>
      </w:r>
      <w:proofErr w:type="spellStart"/>
      <w:r w:rsidRPr="00BF3409">
        <w:rPr>
          <w:rFonts w:ascii="Times New Roman" w:hAnsi="Times New Roman" w:cs="Times New Roman"/>
          <w:color w:val="000000" w:themeColor="text1"/>
          <w:sz w:val="18"/>
          <w:szCs w:val="18"/>
        </w:rPr>
        <w:t>Pistor</w:t>
      </w:r>
      <w:proofErr w:type="spellEnd"/>
      <w:r w:rsidRPr="00BF3409">
        <w:rPr>
          <w:rFonts w:ascii="Times New Roman" w:hAnsi="Times New Roman" w:cs="Times New Roman"/>
          <w:color w:val="000000" w:themeColor="text1"/>
          <w:sz w:val="18"/>
          <w:szCs w:val="18"/>
        </w:rPr>
        <w:t>, ‘Avoiding Real Change: The Myth of Green Capitalism’ (</w:t>
      </w:r>
      <w:r w:rsidRPr="00BF3409">
        <w:rPr>
          <w:rFonts w:ascii="Times New Roman" w:hAnsi="Times New Roman" w:cs="Times New Roman"/>
          <w:i/>
          <w:iCs/>
          <w:color w:val="000000" w:themeColor="text1"/>
          <w:sz w:val="18"/>
          <w:szCs w:val="18"/>
        </w:rPr>
        <w:t>Project Syndicate</w:t>
      </w:r>
      <w:r w:rsidRPr="00BF3409">
        <w:rPr>
          <w:rFonts w:ascii="Times New Roman" w:hAnsi="Times New Roman" w:cs="Times New Roman"/>
          <w:color w:val="000000" w:themeColor="text1"/>
          <w:sz w:val="18"/>
          <w:szCs w:val="18"/>
        </w:rPr>
        <w:t>, 21 September 2021) https://www.project-syndicate.org/commentary/green-capitalism-myth-no-market-solution-to-climate-change-by-katharina-pistor-2021-09</w:t>
      </w:r>
      <w:r w:rsidR="00354D2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accessed 8 July 2024.</w:t>
      </w:r>
    </w:p>
  </w:footnote>
  <w:footnote w:id="9">
    <w:p w14:paraId="5FCAA4A5" w14:textId="46C0A045"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Misato Sato, Glen </w:t>
      </w:r>
      <w:proofErr w:type="spellStart"/>
      <w:r w:rsidRPr="00BF3409">
        <w:rPr>
          <w:rFonts w:ascii="Times New Roman" w:hAnsi="Times New Roman" w:cs="Times New Roman"/>
          <w:sz w:val="18"/>
          <w:szCs w:val="18"/>
        </w:rPr>
        <w:t>Gostlow</w:t>
      </w:r>
      <w:proofErr w:type="spellEnd"/>
      <w:r w:rsidRPr="00BF3409">
        <w:rPr>
          <w:rFonts w:ascii="Times New Roman" w:hAnsi="Times New Roman" w:cs="Times New Roman"/>
          <w:sz w:val="18"/>
          <w:szCs w:val="18"/>
        </w:rPr>
        <w:t>, Catherine Higham et al</w:t>
      </w:r>
      <w:r w:rsidR="00354D21" w:rsidRPr="00BF3409">
        <w:rPr>
          <w:rFonts w:ascii="Times New Roman" w:hAnsi="Times New Roman" w:cs="Times New Roman"/>
          <w:sz w:val="18"/>
          <w:szCs w:val="18"/>
        </w:rPr>
        <w:t>.</w:t>
      </w:r>
      <w:r w:rsidRPr="00BF3409">
        <w:rPr>
          <w:rFonts w:ascii="Times New Roman" w:hAnsi="Times New Roman" w:cs="Times New Roman"/>
          <w:sz w:val="18"/>
          <w:szCs w:val="18"/>
        </w:rPr>
        <w:t xml:space="preserve">, ‘Impacts of Climate Litigation on Firm Value’ (2024) 7 </w:t>
      </w:r>
      <w:r w:rsidRPr="00BF3409">
        <w:rPr>
          <w:rFonts w:ascii="Times New Roman" w:hAnsi="Times New Roman" w:cs="Times New Roman"/>
          <w:i/>
          <w:iCs/>
          <w:sz w:val="18"/>
          <w:szCs w:val="18"/>
        </w:rPr>
        <w:t>Nature Sustainability</w:t>
      </w:r>
      <w:r w:rsidRPr="00BF3409">
        <w:rPr>
          <w:rFonts w:ascii="Times New Roman" w:hAnsi="Times New Roman" w:cs="Times New Roman"/>
          <w:sz w:val="18"/>
          <w:szCs w:val="18"/>
        </w:rPr>
        <w:t xml:space="preserve"> 1461</w:t>
      </w:r>
      <w:r w:rsidR="00354D21" w:rsidRPr="00BF3409">
        <w:rPr>
          <w:rFonts w:ascii="Times New Roman" w:hAnsi="Times New Roman" w:cs="Times New Roman"/>
          <w:sz w:val="18"/>
          <w:szCs w:val="18"/>
        </w:rPr>
        <w:t xml:space="preserve">; </w:t>
      </w:r>
      <w:r w:rsidRPr="00BF3409">
        <w:rPr>
          <w:rFonts w:ascii="Times New Roman" w:hAnsi="Times New Roman" w:cs="Times New Roman"/>
          <w:sz w:val="18"/>
          <w:szCs w:val="18"/>
        </w:rPr>
        <w:t>Adam B Badawi and Frank </w:t>
      </w:r>
      <w:proofErr w:type="spellStart"/>
      <w:r w:rsidRPr="00BF3409">
        <w:rPr>
          <w:rFonts w:ascii="Times New Roman" w:hAnsi="Times New Roman" w:cs="Times New Roman"/>
          <w:sz w:val="18"/>
          <w:szCs w:val="18"/>
        </w:rPr>
        <w:t>Partnoy</w:t>
      </w:r>
      <w:proofErr w:type="spellEnd"/>
      <w:r w:rsidRPr="00BF3409">
        <w:rPr>
          <w:rFonts w:ascii="Times New Roman" w:hAnsi="Times New Roman" w:cs="Times New Roman"/>
          <w:sz w:val="18"/>
          <w:szCs w:val="18"/>
        </w:rPr>
        <w:t xml:space="preserve">, ‘Social Good and Litigation Risk’ (2022) 12 </w:t>
      </w:r>
      <w:r w:rsidRPr="00BF3409">
        <w:rPr>
          <w:rFonts w:ascii="Times New Roman" w:hAnsi="Times New Roman" w:cs="Times New Roman"/>
          <w:i/>
          <w:iCs/>
          <w:sz w:val="18"/>
          <w:szCs w:val="18"/>
        </w:rPr>
        <w:t>Harvard Business Law Review</w:t>
      </w:r>
      <w:r w:rsidRPr="00BF3409">
        <w:rPr>
          <w:rFonts w:ascii="Times New Roman" w:hAnsi="Times New Roman" w:cs="Times New Roman"/>
          <w:sz w:val="18"/>
          <w:szCs w:val="18"/>
        </w:rPr>
        <w:t xml:space="preserve"> 315.</w:t>
      </w:r>
    </w:p>
  </w:footnote>
  <w:footnote w:id="10">
    <w:p w14:paraId="062F6DBB" w14:textId="0C0B461F"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t>
      </w:r>
      <w:r w:rsidR="00354D21" w:rsidRPr="00BF3409">
        <w:rPr>
          <w:rFonts w:ascii="Times New Roman" w:hAnsi="Times New Roman" w:cs="Times New Roman"/>
          <w:color w:val="000000" w:themeColor="text1"/>
          <w:sz w:val="18"/>
          <w:szCs w:val="18"/>
        </w:rPr>
        <w:t>E</w:t>
      </w:r>
      <w:r w:rsidRPr="00BF3409">
        <w:rPr>
          <w:rFonts w:ascii="Times New Roman" w:hAnsi="Times New Roman" w:cs="Times New Roman"/>
          <w:color w:val="000000" w:themeColor="text1"/>
          <w:sz w:val="18"/>
          <w:szCs w:val="18"/>
        </w:rPr>
        <w:t xml:space="preserve">.g. Stephen Kim Park, ‘Investors as Regulators: Green Bonds and the Governance Challenges of the Sustainable Finance Revolution’ (2018) 54 </w:t>
      </w:r>
      <w:r w:rsidRPr="00BF3409">
        <w:rPr>
          <w:rFonts w:ascii="Times New Roman" w:hAnsi="Times New Roman" w:cs="Times New Roman"/>
          <w:i/>
          <w:iCs/>
          <w:color w:val="000000" w:themeColor="text1"/>
          <w:sz w:val="18"/>
          <w:szCs w:val="18"/>
        </w:rPr>
        <w:t xml:space="preserve">Stanford Journal of International Law </w:t>
      </w:r>
      <w:r w:rsidRPr="00BF3409">
        <w:rPr>
          <w:rFonts w:ascii="Times New Roman" w:hAnsi="Times New Roman" w:cs="Times New Roman"/>
          <w:color w:val="000000" w:themeColor="text1"/>
          <w:sz w:val="18"/>
          <w:szCs w:val="18"/>
        </w:rPr>
        <w:t>1</w:t>
      </w:r>
      <w:r w:rsidR="00354D21"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 xml:space="preserve">Federica Agostini, ‘From “Green Bond Principles” to “Green Bond Clauses”: Mitigating Greenwashing through Contract Law’ in Maren </w:t>
      </w:r>
      <w:proofErr w:type="spellStart"/>
      <w:r w:rsidRPr="00BF3409">
        <w:rPr>
          <w:rFonts w:ascii="Times New Roman" w:hAnsi="Times New Roman" w:cs="Times New Roman"/>
          <w:color w:val="000000" w:themeColor="text1"/>
          <w:sz w:val="18"/>
          <w:szCs w:val="18"/>
        </w:rPr>
        <w:t>Heidemann</w:t>
      </w:r>
      <w:proofErr w:type="spellEnd"/>
      <w:r w:rsidRPr="00BF3409">
        <w:rPr>
          <w:rFonts w:ascii="Times New Roman" w:hAnsi="Times New Roman" w:cs="Times New Roman"/>
          <w:color w:val="000000" w:themeColor="text1"/>
          <w:sz w:val="18"/>
          <w:szCs w:val="18"/>
        </w:rPr>
        <w:t xml:space="preserve"> and Mads </w:t>
      </w:r>
      <w:proofErr w:type="spellStart"/>
      <w:r w:rsidRPr="00BF3409">
        <w:rPr>
          <w:rFonts w:ascii="Times New Roman" w:hAnsi="Times New Roman" w:cs="Times New Roman"/>
          <w:color w:val="000000" w:themeColor="text1"/>
          <w:sz w:val="18"/>
          <w:szCs w:val="18"/>
        </w:rPr>
        <w:t>Andenas</w:t>
      </w:r>
      <w:proofErr w:type="spellEnd"/>
      <w:r w:rsidRPr="00BF3409">
        <w:rPr>
          <w:rFonts w:ascii="Times New Roman" w:hAnsi="Times New Roman" w:cs="Times New Roman"/>
          <w:color w:val="000000" w:themeColor="text1"/>
          <w:sz w:val="18"/>
          <w:szCs w:val="18"/>
        </w:rPr>
        <w:t xml:space="preserve"> (eds), </w:t>
      </w:r>
      <w:r w:rsidRPr="00BF3409">
        <w:rPr>
          <w:rFonts w:ascii="Times New Roman" w:hAnsi="Times New Roman" w:cs="Times New Roman"/>
          <w:i/>
          <w:color w:val="000000" w:themeColor="text1"/>
          <w:sz w:val="18"/>
          <w:szCs w:val="18"/>
        </w:rPr>
        <w:t>Quo Vadis Commercial Contract? Reflections on Sustainability, Ethics and Technology in the Emerging Law and Practice of Global Commerce</w:t>
      </w:r>
      <w:r w:rsidRPr="00BF3409">
        <w:rPr>
          <w:rFonts w:ascii="Times New Roman" w:hAnsi="Times New Roman" w:cs="Times New Roman"/>
          <w:color w:val="000000" w:themeColor="text1"/>
          <w:sz w:val="18"/>
          <w:szCs w:val="18"/>
        </w:rPr>
        <w:t xml:space="preserve"> (Cham</w:t>
      </w:r>
      <w:r w:rsidR="00354D2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w:t>
      </w:r>
      <w:r w:rsidR="00354D21" w:rsidRPr="00BF3409">
        <w:rPr>
          <w:rFonts w:ascii="Times New Roman" w:hAnsi="Times New Roman" w:cs="Times New Roman"/>
          <w:color w:val="000000" w:themeColor="text1"/>
          <w:sz w:val="18"/>
          <w:szCs w:val="18"/>
        </w:rPr>
        <w:t xml:space="preserve">Springer, </w:t>
      </w:r>
      <w:r w:rsidRPr="00BF3409">
        <w:rPr>
          <w:rFonts w:ascii="Times New Roman" w:hAnsi="Times New Roman" w:cs="Times New Roman"/>
          <w:color w:val="000000" w:themeColor="text1"/>
          <w:sz w:val="18"/>
          <w:szCs w:val="18"/>
        </w:rPr>
        <w:t>2023).</w:t>
      </w:r>
    </w:p>
  </w:footnote>
  <w:footnote w:id="11">
    <w:p w14:paraId="6D88AFCE" w14:textId="56868756"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This aspect has been explored</w:t>
      </w:r>
      <w:r w:rsidR="00354D2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especially in the US context, given the importance of the </w:t>
      </w:r>
      <w:r w:rsidR="00354D21" w:rsidRPr="00BF3409">
        <w:rPr>
          <w:rFonts w:ascii="Times New Roman" w:hAnsi="Times New Roman" w:cs="Times New Roman"/>
          <w:color w:val="000000" w:themeColor="text1"/>
          <w:sz w:val="18"/>
          <w:szCs w:val="18"/>
        </w:rPr>
        <w:t xml:space="preserve">doctrine of </w:t>
      </w:r>
      <w:r w:rsidRPr="00BF3409">
        <w:rPr>
          <w:rFonts w:ascii="Times New Roman" w:hAnsi="Times New Roman" w:cs="Times New Roman"/>
          <w:color w:val="000000" w:themeColor="text1"/>
          <w:sz w:val="18"/>
          <w:szCs w:val="18"/>
        </w:rPr>
        <w:t>shareholder wealth maximisation</w:t>
      </w:r>
      <w:r w:rsidR="00354D21"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 xml:space="preserve"> e.g. Virginia Harper Ho, ‘US ESG Regulation in Transnational Context’ in Jens-Hinrich Binder, Klaus J </w:t>
      </w:r>
      <w:proofErr w:type="spellStart"/>
      <w:r w:rsidRPr="00BF3409">
        <w:rPr>
          <w:rFonts w:ascii="Times New Roman" w:hAnsi="Times New Roman" w:cs="Times New Roman"/>
          <w:color w:val="000000" w:themeColor="text1"/>
          <w:sz w:val="18"/>
          <w:szCs w:val="18"/>
        </w:rPr>
        <w:t>Hopt</w:t>
      </w:r>
      <w:proofErr w:type="spellEnd"/>
      <w:r w:rsidRPr="00BF3409">
        <w:rPr>
          <w:rFonts w:ascii="Times New Roman" w:hAnsi="Times New Roman" w:cs="Times New Roman"/>
          <w:color w:val="000000" w:themeColor="text1"/>
          <w:sz w:val="18"/>
          <w:szCs w:val="18"/>
        </w:rPr>
        <w:t xml:space="preserve"> and </w:t>
      </w:r>
      <w:proofErr w:type="spellStart"/>
      <w:r w:rsidRPr="00BF3409">
        <w:rPr>
          <w:rFonts w:ascii="Times New Roman" w:hAnsi="Times New Roman" w:cs="Times New Roman"/>
          <w:color w:val="000000" w:themeColor="text1"/>
          <w:sz w:val="18"/>
          <w:szCs w:val="18"/>
        </w:rPr>
        <w:t>Thilo</w:t>
      </w:r>
      <w:proofErr w:type="spellEnd"/>
      <w:r w:rsidRPr="00BF3409">
        <w:rPr>
          <w:rFonts w:ascii="Times New Roman" w:hAnsi="Times New Roman" w:cs="Times New Roman"/>
          <w:color w:val="000000" w:themeColor="text1"/>
          <w:sz w:val="18"/>
          <w:szCs w:val="18"/>
        </w:rPr>
        <w:t xml:space="preserve"> Kuntz (eds), </w:t>
      </w:r>
      <w:r w:rsidRPr="00BF3409">
        <w:rPr>
          <w:rFonts w:ascii="Times New Roman" w:hAnsi="Times New Roman" w:cs="Times New Roman"/>
          <w:i/>
          <w:iCs/>
          <w:color w:val="000000" w:themeColor="text1"/>
          <w:sz w:val="18"/>
          <w:szCs w:val="18"/>
        </w:rPr>
        <w:t>Corporate Purpose, CSR and ESG: A Trans-Atlantic Perspective</w:t>
      </w:r>
      <w:r w:rsidRPr="00BF3409">
        <w:rPr>
          <w:rFonts w:ascii="Times New Roman" w:hAnsi="Times New Roman" w:cs="Times New Roman"/>
          <w:color w:val="000000" w:themeColor="text1"/>
          <w:sz w:val="18"/>
          <w:szCs w:val="18"/>
        </w:rPr>
        <w:t xml:space="preserve"> (</w:t>
      </w:r>
      <w:r w:rsidR="00454B33" w:rsidRPr="00BF3409">
        <w:rPr>
          <w:rFonts w:ascii="Times New Roman" w:hAnsi="Times New Roman" w:cs="Times New Roman"/>
          <w:color w:val="000000" w:themeColor="text1"/>
          <w:sz w:val="18"/>
          <w:szCs w:val="18"/>
        </w:rPr>
        <w:t xml:space="preserve">Oxford: </w:t>
      </w:r>
      <w:r w:rsidRPr="00BF3409">
        <w:rPr>
          <w:rFonts w:ascii="Times New Roman" w:hAnsi="Times New Roman" w:cs="Times New Roman"/>
          <w:color w:val="000000" w:themeColor="text1"/>
          <w:sz w:val="18"/>
          <w:szCs w:val="18"/>
        </w:rPr>
        <w:t>Oxford University Press</w:t>
      </w:r>
      <w:r w:rsidR="00354D2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2024</w:t>
      </w:r>
      <w:r w:rsidR="00354D21"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 xml:space="preserve">Jonathan R </w:t>
      </w:r>
      <w:proofErr w:type="spellStart"/>
      <w:r w:rsidRPr="00BF3409">
        <w:rPr>
          <w:rFonts w:ascii="Times New Roman" w:hAnsi="Times New Roman" w:cs="Times New Roman"/>
          <w:color w:val="000000" w:themeColor="text1"/>
          <w:sz w:val="18"/>
          <w:szCs w:val="18"/>
        </w:rPr>
        <w:t>Povilonis</w:t>
      </w:r>
      <w:proofErr w:type="spellEnd"/>
      <w:r w:rsidRPr="00BF3409">
        <w:rPr>
          <w:rFonts w:ascii="Times New Roman" w:hAnsi="Times New Roman" w:cs="Times New Roman"/>
          <w:color w:val="000000" w:themeColor="text1"/>
          <w:sz w:val="18"/>
          <w:szCs w:val="18"/>
        </w:rPr>
        <w:t>, ‘Contracting for ESG: Sustainability-Linked Bonds and a New Investor Paradigm’ (2022) 77 The Business Lawyer 3.</w:t>
      </w:r>
    </w:p>
  </w:footnote>
  <w:footnote w:id="12">
    <w:p w14:paraId="3F360419" w14:textId="35201A5B"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E.g. due to corporate law limitations</w:t>
      </w:r>
      <w:r w:rsidR="009A7455" w:rsidRPr="00BF3409">
        <w:rPr>
          <w:rFonts w:ascii="Times New Roman" w:hAnsi="Times New Roman" w:cs="Times New Roman"/>
          <w:color w:val="000000" w:themeColor="text1"/>
          <w:sz w:val="18"/>
          <w:szCs w:val="18"/>
        </w:rPr>
        <w:t>,</w:t>
      </w:r>
      <w:r w:rsidR="00354D21"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 xml:space="preserve">see </w:t>
      </w:r>
      <w:proofErr w:type="spellStart"/>
      <w:r w:rsidRPr="00BF3409">
        <w:rPr>
          <w:rFonts w:ascii="Times New Roman" w:hAnsi="Times New Roman" w:cs="Times New Roman"/>
          <w:color w:val="000000" w:themeColor="text1"/>
          <w:sz w:val="18"/>
          <w:szCs w:val="18"/>
        </w:rPr>
        <w:t>Povilonis</w:t>
      </w:r>
      <w:proofErr w:type="spellEnd"/>
      <w:r w:rsidR="001F1C71" w:rsidRPr="00BF3409">
        <w:rPr>
          <w:rFonts w:ascii="Times New Roman" w:hAnsi="Times New Roman" w:cs="Times New Roman"/>
          <w:color w:val="000000" w:themeColor="text1"/>
          <w:sz w:val="18"/>
          <w:szCs w:val="18"/>
        </w:rPr>
        <w:t xml:space="preserve">, </w:t>
      </w:r>
      <w:r w:rsidR="009A7455" w:rsidRPr="00BF3409">
        <w:rPr>
          <w:rFonts w:ascii="Times New Roman" w:hAnsi="Times New Roman" w:cs="Times New Roman"/>
          <w:color w:val="000000" w:themeColor="text1"/>
          <w:sz w:val="18"/>
          <w:szCs w:val="18"/>
        </w:rPr>
        <w:t>n. 10.</w:t>
      </w:r>
    </w:p>
  </w:footnote>
  <w:footnote w:id="13">
    <w:p w14:paraId="63FB7AC9" w14:textId="29E1A21F"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See Agostini, n. 9</w:t>
      </w:r>
      <w:r w:rsidR="00354D2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and Quinn Curtis, Mark C </w:t>
      </w:r>
      <w:proofErr w:type="spellStart"/>
      <w:r w:rsidRPr="00BF3409">
        <w:rPr>
          <w:rFonts w:ascii="Times New Roman" w:hAnsi="Times New Roman" w:cs="Times New Roman"/>
          <w:color w:val="000000" w:themeColor="text1"/>
          <w:sz w:val="18"/>
          <w:szCs w:val="18"/>
        </w:rPr>
        <w:t>Weidemaier</w:t>
      </w:r>
      <w:proofErr w:type="spellEnd"/>
      <w:r w:rsidRPr="00BF3409">
        <w:rPr>
          <w:rFonts w:ascii="Times New Roman" w:hAnsi="Times New Roman" w:cs="Times New Roman"/>
          <w:color w:val="000000" w:themeColor="text1"/>
          <w:sz w:val="18"/>
          <w:szCs w:val="18"/>
        </w:rPr>
        <w:t xml:space="preserve"> and </w:t>
      </w:r>
      <w:proofErr w:type="spellStart"/>
      <w:r w:rsidRPr="00BF3409">
        <w:rPr>
          <w:rFonts w:ascii="Times New Roman" w:hAnsi="Times New Roman" w:cs="Times New Roman"/>
          <w:color w:val="000000" w:themeColor="text1"/>
          <w:sz w:val="18"/>
          <w:szCs w:val="18"/>
        </w:rPr>
        <w:t>Mitu</w:t>
      </w:r>
      <w:proofErr w:type="spellEnd"/>
      <w:r w:rsidRPr="00BF3409">
        <w:rPr>
          <w:rFonts w:ascii="Times New Roman" w:hAnsi="Times New Roman" w:cs="Times New Roman"/>
          <w:color w:val="000000" w:themeColor="text1"/>
          <w:sz w:val="18"/>
          <w:szCs w:val="18"/>
        </w:rPr>
        <w:t xml:space="preserve"> Gulati, ‘Green Bonds, Empty Promises’ (2023) 102 </w:t>
      </w:r>
      <w:r w:rsidRPr="00BF3409">
        <w:rPr>
          <w:rFonts w:ascii="Times New Roman" w:hAnsi="Times New Roman" w:cs="Times New Roman"/>
          <w:i/>
          <w:iCs/>
          <w:color w:val="000000" w:themeColor="text1"/>
          <w:sz w:val="18"/>
          <w:szCs w:val="18"/>
        </w:rPr>
        <w:t>North Carolina Law Review</w:t>
      </w:r>
      <w:r w:rsidRPr="00BF3409">
        <w:rPr>
          <w:rFonts w:ascii="Times New Roman" w:hAnsi="Times New Roman" w:cs="Times New Roman"/>
          <w:color w:val="000000" w:themeColor="text1"/>
          <w:sz w:val="18"/>
          <w:szCs w:val="18"/>
        </w:rPr>
        <w:t xml:space="preserve"> 131.</w:t>
      </w:r>
    </w:p>
  </w:footnote>
  <w:footnote w:id="14">
    <w:p w14:paraId="4876E188" w14:textId="4A86863B"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proofErr w:type="spellStart"/>
      <w:r w:rsidRPr="00BF3409">
        <w:rPr>
          <w:rFonts w:ascii="Times New Roman" w:hAnsi="Times New Roman" w:cs="Times New Roman"/>
          <w:sz w:val="18"/>
          <w:szCs w:val="18"/>
        </w:rPr>
        <w:t>Marija</w:t>
      </w:r>
      <w:proofErr w:type="spellEnd"/>
      <w:r w:rsidRPr="00BF3409">
        <w:rPr>
          <w:rFonts w:ascii="Times New Roman" w:hAnsi="Times New Roman" w:cs="Times New Roman"/>
          <w:sz w:val="18"/>
          <w:szCs w:val="18"/>
        </w:rPr>
        <w:t xml:space="preserve"> </w:t>
      </w:r>
      <w:proofErr w:type="spellStart"/>
      <w:r w:rsidRPr="00BF3409">
        <w:rPr>
          <w:rFonts w:ascii="Times New Roman" w:hAnsi="Times New Roman" w:cs="Times New Roman"/>
          <w:sz w:val="18"/>
          <w:szCs w:val="18"/>
        </w:rPr>
        <w:t>Bartl</w:t>
      </w:r>
      <w:proofErr w:type="spellEnd"/>
      <w:r w:rsidRPr="00BF3409">
        <w:rPr>
          <w:rFonts w:ascii="Times New Roman" w:hAnsi="Times New Roman" w:cs="Times New Roman"/>
          <w:sz w:val="18"/>
          <w:szCs w:val="18"/>
        </w:rPr>
        <w:t xml:space="preserve">, </w:t>
      </w:r>
      <w:r w:rsidRPr="00BF3409">
        <w:rPr>
          <w:rFonts w:ascii="Times New Roman" w:hAnsi="Times New Roman" w:cs="Times New Roman"/>
          <w:i/>
          <w:iCs/>
          <w:sz w:val="18"/>
          <w:szCs w:val="18"/>
        </w:rPr>
        <w:t>Reimagining Prosperity: Toward a New Imaginary of Law and Political Economy in the EU</w:t>
      </w:r>
      <w:r w:rsidRPr="00BF3409">
        <w:rPr>
          <w:rFonts w:ascii="Times New Roman" w:hAnsi="Times New Roman" w:cs="Times New Roman"/>
          <w:sz w:val="18"/>
          <w:szCs w:val="18"/>
        </w:rPr>
        <w:t xml:space="preserve"> (</w:t>
      </w:r>
      <w:r w:rsidR="00354D21" w:rsidRPr="00BF3409">
        <w:rPr>
          <w:rFonts w:ascii="Times New Roman" w:hAnsi="Times New Roman" w:cs="Times New Roman"/>
          <w:sz w:val="18"/>
          <w:szCs w:val="18"/>
        </w:rPr>
        <w:t xml:space="preserve">Cambridge: </w:t>
      </w:r>
      <w:r w:rsidRPr="00BF3409">
        <w:rPr>
          <w:rFonts w:ascii="Times New Roman" w:hAnsi="Times New Roman" w:cs="Times New Roman"/>
          <w:sz w:val="18"/>
          <w:szCs w:val="18"/>
        </w:rPr>
        <w:t>Cambridge University Press, 2024).</w:t>
      </w:r>
    </w:p>
  </w:footnote>
  <w:footnote w:id="15">
    <w:p w14:paraId="463528FF" w14:textId="02D03EFD" w:rsidR="00C0181E" w:rsidRPr="00BF3409" w:rsidRDefault="00C0181E">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r w:rsidR="007B31BC" w:rsidRPr="00BF3409">
        <w:rPr>
          <w:rFonts w:ascii="Times New Roman" w:hAnsi="Times New Roman" w:cs="Times New Roman"/>
          <w:sz w:val="18"/>
          <w:szCs w:val="18"/>
        </w:rPr>
        <w:t>See supplementary material for full list of prospectuses analysed,</w:t>
      </w:r>
      <w:r w:rsidR="00CC3FBD" w:rsidRPr="00BF3409">
        <w:rPr>
          <w:rFonts w:ascii="Times New Roman" w:hAnsi="Times New Roman" w:cs="Times New Roman"/>
          <w:sz w:val="18"/>
          <w:szCs w:val="18"/>
        </w:rPr>
        <w:t xml:space="preserve"> see </w:t>
      </w:r>
      <w:r w:rsidR="007222BB" w:rsidRPr="00BF3409">
        <w:rPr>
          <w:rFonts w:ascii="Times New Roman" w:hAnsi="Times New Roman" w:cs="Times New Roman"/>
          <w:sz w:val="18"/>
          <w:szCs w:val="18"/>
        </w:rPr>
        <w:t xml:space="preserve">Agnieszka </w:t>
      </w:r>
      <w:proofErr w:type="spellStart"/>
      <w:r w:rsidR="007222BB" w:rsidRPr="00BF3409">
        <w:rPr>
          <w:rFonts w:ascii="Times New Roman" w:hAnsi="Times New Roman" w:cs="Times New Roman"/>
          <w:sz w:val="18"/>
          <w:szCs w:val="18"/>
        </w:rPr>
        <w:t>Smoleńska</w:t>
      </w:r>
      <w:proofErr w:type="spellEnd"/>
      <w:r w:rsidR="007222BB" w:rsidRPr="00BF3409">
        <w:rPr>
          <w:rFonts w:ascii="Times New Roman" w:hAnsi="Times New Roman" w:cs="Times New Roman"/>
          <w:sz w:val="18"/>
          <w:szCs w:val="18"/>
        </w:rPr>
        <w:t>, ‘</w:t>
      </w:r>
      <w:r w:rsidR="00CC3FBD" w:rsidRPr="00BF3409">
        <w:rPr>
          <w:rFonts w:ascii="Times New Roman" w:hAnsi="Times New Roman" w:cs="Times New Roman"/>
          <w:sz w:val="18"/>
          <w:szCs w:val="18"/>
        </w:rPr>
        <w:t>Supplementary Material</w:t>
      </w:r>
      <w:r w:rsidR="007222BB" w:rsidRPr="00BF3409">
        <w:rPr>
          <w:rFonts w:ascii="Times New Roman" w:hAnsi="Times New Roman" w:cs="Times New Roman"/>
          <w:sz w:val="18"/>
          <w:szCs w:val="18"/>
        </w:rPr>
        <w:t>’ (2025)</w:t>
      </w:r>
      <w:r w:rsidR="00CC3FBD" w:rsidRPr="00BF3409">
        <w:rPr>
          <w:rFonts w:ascii="Times New Roman" w:hAnsi="Times New Roman" w:cs="Times New Roman"/>
          <w:sz w:val="18"/>
          <w:szCs w:val="18"/>
        </w:rPr>
        <w:t xml:space="preserve"> </w:t>
      </w:r>
      <w:hyperlink r:id="rId1" w:history="1">
        <w:r w:rsidR="00470F87" w:rsidRPr="00BF3409">
          <w:rPr>
            <w:rStyle w:val="Hipercze"/>
            <w:rFonts w:ascii="Times New Roman" w:hAnsi="Times New Roman" w:cs="Times New Roman"/>
            <w:sz w:val="18"/>
            <w:szCs w:val="18"/>
          </w:rPr>
          <w:t>https://doi.org/10.6084/m9.figshare.29286137.v1</w:t>
        </w:r>
      </w:hyperlink>
      <w:r w:rsidR="00470F87" w:rsidRPr="00BF3409">
        <w:rPr>
          <w:rFonts w:ascii="Times New Roman" w:hAnsi="Times New Roman" w:cs="Times New Roman"/>
          <w:sz w:val="18"/>
          <w:szCs w:val="18"/>
        </w:rPr>
        <w:t>, last accessed 19 July 2025.</w:t>
      </w:r>
    </w:p>
  </w:footnote>
  <w:footnote w:id="16">
    <w:p w14:paraId="17793884" w14:textId="785BB724"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The differentiation builds on Edelman and </w:t>
      </w:r>
      <w:proofErr w:type="spellStart"/>
      <w:r w:rsidRPr="00BF3409">
        <w:rPr>
          <w:rFonts w:ascii="Times New Roman" w:hAnsi="Times New Roman" w:cs="Times New Roman"/>
          <w:color w:val="000000" w:themeColor="text1"/>
          <w:sz w:val="18"/>
          <w:szCs w:val="18"/>
        </w:rPr>
        <w:t>Suchman’s</w:t>
      </w:r>
      <w:proofErr w:type="spellEnd"/>
      <w:r w:rsidRPr="00BF3409">
        <w:rPr>
          <w:rFonts w:ascii="Times New Roman" w:hAnsi="Times New Roman" w:cs="Times New Roman"/>
          <w:color w:val="000000" w:themeColor="text1"/>
          <w:sz w:val="18"/>
          <w:szCs w:val="18"/>
        </w:rPr>
        <w:t xml:space="preserve"> exploration of legal environments shaping organisations</w:t>
      </w:r>
      <w:r w:rsidR="00A517D0" w:rsidRPr="00BF3409">
        <w:rPr>
          <w:rFonts w:ascii="Times New Roman" w:hAnsi="Times New Roman" w:cs="Times New Roman"/>
          <w:color w:val="000000" w:themeColor="text1"/>
          <w:sz w:val="18"/>
          <w:szCs w:val="18"/>
        </w:rPr>
        <w:t xml:space="preserve"> – </w:t>
      </w:r>
      <w:r w:rsidRPr="00BF3409">
        <w:rPr>
          <w:rFonts w:ascii="Times New Roman" w:hAnsi="Times New Roman" w:cs="Times New Roman"/>
          <w:color w:val="000000" w:themeColor="text1"/>
          <w:sz w:val="18"/>
          <w:szCs w:val="18"/>
        </w:rPr>
        <w:t xml:space="preserve">Lauren B Edelman and Mark C </w:t>
      </w:r>
      <w:proofErr w:type="spellStart"/>
      <w:r w:rsidRPr="00BF3409">
        <w:rPr>
          <w:rFonts w:ascii="Times New Roman" w:hAnsi="Times New Roman" w:cs="Times New Roman"/>
          <w:color w:val="000000" w:themeColor="text1"/>
          <w:sz w:val="18"/>
          <w:szCs w:val="18"/>
        </w:rPr>
        <w:t>Suchman</w:t>
      </w:r>
      <w:proofErr w:type="spellEnd"/>
      <w:r w:rsidRPr="00BF3409">
        <w:rPr>
          <w:rFonts w:ascii="Times New Roman" w:hAnsi="Times New Roman" w:cs="Times New Roman"/>
          <w:color w:val="000000" w:themeColor="text1"/>
          <w:sz w:val="18"/>
          <w:szCs w:val="18"/>
        </w:rPr>
        <w:t xml:space="preserve">, ‘The Legal Environments of Organizations’ (1997) 23 </w:t>
      </w:r>
      <w:r w:rsidRPr="00BF3409">
        <w:rPr>
          <w:rFonts w:ascii="Times New Roman" w:hAnsi="Times New Roman" w:cs="Times New Roman"/>
          <w:i/>
          <w:iCs/>
          <w:color w:val="000000" w:themeColor="text1"/>
          <w:sz w:val="18"/>
          <w:szCs w:val="18"/>
        </w:rPr>
        <w:t>Annual Review of Sociology</w:t>
      </w:r>
      <w:r w:rsidRPr="00BF3409">
        <w:rPr>
          <w:rFonts w:ascii="Times New Roman" w:hAnsi="Times New Roman" w:cs="Times New Roman"/>
          <w:color w:val="000000" w:themeColor="text1"/>
          <w:sz w:val="18"/>
          <w:szCs w:val="18"/>
        </w:rPr>
        <w:t xml:space="preserve"> 479.</w:t>
      </w:r>
    </w:p>
  </w:footnote>
  <w:footnote w:id="17">
    <w:p w14:paraId="366DD77F" w14:textId="718DE719"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See </w:t>
      </w:r>
      <w:r w:rsidR="00A517D0" w:rsidRPr="00BF3409">
        <w:rPr>
          <w:rFonts w:ascii="Times New Roman" w:hAnsi="Times New Roman" w:cs="Times New Roman"/>
          <w:sz w:val="18"/>
          <w:szCs w:val="18"/>
        </w:rPr>
        <w:t xml:space="preserve">also </w:t>
      </w:r>
      <w:proofErr w:type="spellStart"/>
      <w:r w:rsidRPr="00BF3409">
        <w:rPr>
          <w:rFonts w:ascii="Times New Roman" w:hAnsi="Times New Roman" w:cs="Times New Roman"/>
          <w:sz w:val="18"/>
          <w:szCs w:val="18"/>
        </w:rPr>
        <w:t>ClientEarth</w:t>
      </w:r>
      <w:proofErr w:type="spellEnd"/>
      <w:r w:rsidRPr="00BF3409">
        <w:rPr>
          <w:rFonts w:ascii="Times New Roman" w:hAnsi="Times New Roman" w:cs="Times New Roman"/>
          <w:sz w:val="18"/>
          <w:szCs w:val="18"/>
        </w:rPr>
        <w:t>,</w:t>
      </w:r>
      <w:r w:rsidRPr="00BF3409">
        <w:rPr>
          <w:rFonts w:ascii="Times New Roman" w:hAnsi="Times New Roman" w:cs="Times New Roman"/>
          <w:i/>
          <w:iCs/>
          <w:sz w:val="18"/>
          <w:szCs w:val="18"/>
        </w:rPr>
        <w:t> Guardrails to Address Greenwashing of Climate Transition Finance</w:t>
      </w:r>
      <w:r w:rsidRPr="00BF3409">
        <w:rPr>
          <w:rFonts w:ascii="Times New Roman" w:hAnsi="Times New Roman" w:cs="Times New Roman"/>
          <w:sz w:val="18"/>
          <w:szCs w:val="18"/>
        </w:rPr>
        <w:t xml:space="preserve"> (Report, 2024) https://www.clientearth.org/latest/documents/guardrails-to-address-greenwashing-of-climate-transition-finance/ accessed 8 July 2024.</w:t>
      </w:r>
    </w:p>
  </w:footnote>
  <w:footnote w:id="18">
    <w:p w14:paraId="012F70E8" w14:textId="2E462AA3"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For example, in the EU</w:t>
      </w:r>
      <w:r w:rsidR="00005B27" w:rsidRPr="00BF3409">
        <w:rPr>
          <w:rFonts w:ascii="Times New Roman" w:hAnsi="Times New Roman" w:cs="Times New Roman"/>
          <w:sz w:val="18"/>
          <w:szCs w:val="18"/>
        </w:rPr>
        <w:t>,</w:t>
      </w:r>
      <w:r w:rsidRPr="00BF3409">
        <w:rPr>
          <w:rFonts w:ascii="Times New Roman" w:hAnsi="Times New Roman" w:cs="Times New Roman"/>
          <w:sz w:val="18"/>
          <w:szCs w:val="18"/>
        </w:rPr>
        <w:t xml:space="preserve"> the SURE instrument involved </w:t>
      </w:r>
      <w:r w:rsidR="00A517D0" w:rsidRPr="00BF3409">
        <w:rPr>
          <w:rFonts w:ascii="Times New Roman" w:hAnsi="Times New Roman" w:cs="Times New Roman"/>
          <w:sz w:val="18"/>
          <w:szCs w:val="18"/>
        </w:rPr>
        <w:t xml:space="preserve">the </w:t>
      </w:r>
      <w:r w:rsidRPr="00BF3409">
        <w:rPr>
          <w:rFonts w:ascii="Times New Roman" w:hAnsi="Times New Roman" w:cs="Times New Roman"/>
          <w:sz w:val="18"/>
          <w:szCs w:val="18"/>
        </w:rPr>
        <w:t xml:space="preserve">European Commission raising up to </w:t>
      </w:r>
      <w:r w:rsidR="00A517D0" w:rsidRPr="00BF3409">
        <w:rPr>
          <w:rFonts w:ascii="Times New Roman" w:hAnsi="Times New Roman" w:cs="Times New Roman"/>
          <w:sz w:val="18"/>
          <w:szCs w:val="18"/>
        </w:rPr>
        <w:t xml:space="preserve">EUR </w:t>
      </w:r>
      <w:r w:rsidRPr="00BF3409">
        <w:rPr>
          <w:rFonts w:ascii="Times New Roman" w:hAnsi="Times New Roman" w:cs="Times New Roman"/>
          <w:sz w:val="18"/>
          <w:szCs w:val="18"/>
        </w:rPr>
        <w:t>100 b</w:t>
      </w:r>
      <w:r w:rsidR="00A517D0" w:rsidRPr="00BF3409">
        <w:rPr>
          <w:rFonts w:ascii="Times New Roman" w:hAnsi="Times New Roman" w:cs="Times New Roman"/>
          <w:sz w:val="18"/>
          <w:szCs w:val="18"/>
        </w:rPr>
        <w:t>illio</w:t>
      </w:r>
      <w:r w:rsidRPr="00BF3409">
        <w:rPr>
          <w:rFonts w:ascii="Times New Roman" w:hAnsi="Times New Roman" w:cs="Times New Roman"/>
          <w:sz w:val="18"/>
          <w:szCs w:val="18"/>
        </w:rPr>
        <w:t xml:space="preserve">n on the markets with </w:t>
      </w:r>
      <w:r w:rsidR="00A517D0" w:rsidRPr="00BF3409">
        <w:rPr>
          <w:rFonts w:ascii="Times New Roman" w:hAnsi="Times New Roman" w:cs="Times New Roman"/>
          <w:sz w:val="18"/>
          <w:szCs w:val="18"/>
        </w:rPr>
        <w:t xml:space="preserve">a </w:t>
      </w:r>
      <w:r w:rsidRPr="00BF3409">
        <w:rPr>
          <w:rFonts w:ascii="Times New Roman" w:hAnsi="Times New Roman" w:cs="Times New Roman"/>
          <w:sz w:val="18"/>
          <w:szCs w:val="18"/>
        </w:rPr>
        <w:t xml:space="preserve">view to </w:t>
      </w:r>
      <w:r w:rsidR="00A517D0" w:rsidRPr="00BF3409">
        <w:rPr>
          <w:rFonts w:ascii="Times New Roman" w:hAnsi="Times New Roman" w:cs="Times New Roman"/>
          <w:sz w:val="18"/>
          <w:szCs w:val="18"/>
        </w:rPr>
        <w:t xml:space="preserve">financing </w:t>
      </w:r>
      <w:r w:rsidRPr="00BF3409">
        <w:rPr>
          <w:rFonts w:ascii="Times New Roman" w:hAnsi="Times New Roman" w:cs="Times New Roman"/>
          <w:sz w:val="18"/>
          <w:szCs w:val="18"/>
        </w:rPr>
        <w:t>pandemic employment insurance programmes across the EU Member States. In the UK, the ‘social impact bonds’ framework involved promoti</w:t>
      </w:r>
      <w:r w:rsidR="00A517D0" w:rsidRPr="00BF3409">
        <w:rPr>
          <w:rFonts w:ascii="Times New Roman" w:hAnsi="Times New Roman" w:cs="Times New Roman"/>
          <w:sz w:val="18"/>
          <w:szCs w:val="18"/>
        </w:rPr>
        <w:t>ng</w:t>
      </w:r>
      <w:r w:rsidRPr="00BF3409">
        <w:rPr>
          <w:rFonts w:ascii="Times New Roman" w:hAnsi="Times New Roman" w:cs="Times New Roman"/>
          <w:sz w:val="18"/>
          <w:szCs w:val="18"/>
        </w:rPr>
        <w:t xml:space="preserve"> innovative financing methods to support government</w:t>
      </w:r>
      <w:r w:rsidR="00A517D0" w:rsidRPr="00BF3409">
        <w:rPr>
          <w:rFonts w:ascii="Times New Roman" w:hAnsi="Times New Roman" w:cs="Times New Roman"/>
          <w:sz w:val="18"/>
          <w:szCs w:val="18"/>
        </w:rPr>
        <w:t>.</w:t>
      </w:r>
      <w:r w:rsidRPr="00BF3409">
        <w:rPr>
          <w:rFonts w:ascii="Times New Roman" w:hAnsi="Times New Roman" w:cs="Times New Roman"/>
          <w:sz w:val="18"/>
          <w:szCs w:val="18"/>
        </w:rPr>
        <w:t xml:space="preserve"> </w:t>
      </w:r>
    </w:p>
  </w:footnote>
  <w:footnote w:id="19">
    <w:p w14:paraId="140B377F" w14:textId="479378AB" w:rsidR="008B50D1" w:rsidRPr="00BF3409" w:rsidRDefault="008B50D1" w:rsidP="00E118C3">
      <w:pPr>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t>
      </w:r>
      <w:r w:rsidR="00A517D0" w:rsidRPr="00BF3409">
        <w:rPr>
          <w:rFonts w:ascii="Times New Roman" w:hAnsi="Times New Roman" w:cs="Times New Roman"/>
          <w:color w:val="000000" w:themeColor="text1"/>
          <w:sz w:val="18"/>
          <w:szCs w:val="18"/>
        </w:rPr>
        <w:t xml:space="preserve">For more on </w:t>
      </w:r>
      <w:r w:rsidRPr="00BF3409">
        <w:rPr>
          <w:rFonts w:ascii="Times New Roman" w:hAnsi="Times New Roman" w:cs="Times New Roman"/>
          <w:color w:val="000000" w:themeColor="text1"/>
          <w:sz w:val="18"/>
          <w:szCs w:val="18"/>
        </w:rPr>
        <w:t>social bonds</w:t>
      </w:r>
      <w:r w:rsidR="00A517D0"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see Stephen </w:t>
      </w:r>
      <w:r w:rsidR="00A66D95" w:rsidRPr="00BF3409">
        <w:rPr>
          <w:rFonts w:ascii="Times New Roman" w:hAnsi="Times New Roman" w:cs="Times New Roman"/>
          <w:color w:val="000000" w:themeColor="text1"/>
          <w:sz w:val="18"/>
          <w:szCs w:val="18"/>
        </w:rPr>
        <w:t xml:space="preserve">Kim </w:t>
      </w:r>
      <w:r w:rsidRPr="00BF3409">
        <w:rPr>
          <w:rFonts w:ascii="Times New Roman" w:hAnsi="Times New Roman" w:cs="Times New Roman"/>
          <w:color w:val="000000" w:themeColor="text1"/>
          <w:sz w:val="18"/>
          <w:szCs w:val="18"/>
        </w:rPr>
        <w:t xml:space="preserve">Park, </w:t>
      </w:r>
      <w:r w:rsidR="00A517D0" w:rsidRPr="00BF3409">
        <w:rPr>
          <w:rFonts w:ascii="Times New Roman" w:hAnsi="Times New Roman" w:cs="Times New Roman"/>
          <w:color w:val="000000" w:themeColor="text1"/>
          <w:sz w:val="18"/>
          <w:szCs w:val="18"/>
        </w:rPr>
        <w:t xml:space="preserve">‘Social </w:t>
      </w:r>
      <w:r w:rsidRPr="00BF3409">
        <w:rPr>
          <w:rFonts w:ascii="Times New Roman" w:hAnsi="Times New Roman" w:cs="Times New Roman"/>
          <w:color w:val="000000" w:themeColor="text1"/>
          <w:sz w:val="18"/>
          <w:szCs w:val="18"/>
        </w:rPr>
        <w:t xml:space="preserve">Bonds for Sustainable Development: A Human Rights Perspective on Impact </w:t>
      </w:r>
      <w:r w:rsidR="00A517D0" w:rsidRPr="00BF3409">
        <w:rPr>
          <w:rFonts w:ascii="Times New Roman" w:hAnsi="Times New Roman" w:cs="Times New Roman"/>
          <w:color w:val="000000" w:themeColor="text1"/>
          <w:sz w:val="18"/>
          <w:szCs w:val="18"/>
        </w:rPr>
        <w:t xml:space="preserve">Investing’ </w:t>
      </w:r>
      <w:r w:rsidRPr="00BF3409">
        <w:rPr>
          <w:rFonts w:ascii="Times New Roman" w:hAnsi="Times New Roman" w:cs="Times New Roman"/>
          <w:color w:val="000000" w:themeColor="text1"/>
          <w:sz w:val="18"/>
          <w:szCs w:val="18"/>
        </w:rPr>
        <w:t xml:space="preserve">(2018) 3(2) </w:t>
      </w:r>
      <w:r w:rsidRPr="00BF3409">
        <w:rPr>
          <w:rFonts w:ascii="Times New Roman" w:hAnsi="Times New Roman" w:cs="Times New Roman"/>
          <w:i/>
          <w:iCs/>
          <w:color w:val="000000" w:themeColor="text1"/>
          <w:sz w:val="18"/>
          <w:szCs w:val="18"/>
        </w:rPr>
        <w:t>Business and Human Rights Journal</w:t>
      </w:r>
      <w:r w:rsidRPr="00BF3409">
        <w:rPr>
          <w:rFonts w:ascii="Times New Roman" w:hAnsi="Times New Roman" w:cs="Times New Roman"/>
          <w:color w:val="000000" w:themeColor="text1"/>
          <w:sz w:val="18"/>
          <w:szCs w:val="18"/>
        </w:rPr>
        <w:t xml:space="preserve"> 233</w:t>
      </w:r>
      <w:r w:rsidR="00A517D0"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w:t>
      </w:r>
      <w:proofErr w:type="spellStart"/>
      <w:r w:rsidRPr="00BF3409">
        <w:rPr>
          <w:rFonts w:ascii="Times New Roman" w:hAnsi="Times New Roman" w:cs="Times New Roman"/>
          <w:color w:val="000000" w:themeColor="text1"/>
          <w:sz w:val="18"/>
          <w:szCs w:val="18"/>
        </w:rPr>
        <w:t>Diletta</w:t>
      </w:r>
      <w:proofErr w:type="spellEnd"/>
      <w:r w:rsidRPr="00BF3409">
        <w:rPr>
          <w:rFonts w:ascii="Times New Roman" w:hAnsi="Times New Roman" w:cs="Times New Roman"/>
          <w:color w:val="000000" w:themeColor="text1"/>
          <w:sz w:val="18"/>
          <w:szCs w:val="18"/>
        </w:rPr>
        <w:t xml:space="preserve"> </w:t>
      </w:r>
      <w:proofErr w:type="spellStart"/>
      <w:r w:rsidRPr="00BF3409">
        <w:rPr>
          <w:rFonts w:ascii="Times New Roman" w:hAnsi="Times New Roman" w:cs="Times New Roman"/>
          <w:color w:val="000000" w:themeColor="text1"/>
          <w:sz w:val="18"/>
          <w:szCs w:val="18"/>
        </w:rPr>
        <w:t>Lenzi</w:t>
      </w:r>
      <w:proofErr w:type="spellEnd"/>
      <w:r w:rsidRPr="00BF3409">
        <w:rPr>
          <w:rFonts w:ascii="Times New Roman" w:hAnsi="Times New Roman" w:cs="Times New Roman"/>
          <w:color w:val="000000" w:themeColor="text1"/>
          <w:sz w:val="18"/>
          <w:szCs w:val="18"/>
        </w:rPr>
        <w:t xml:space="preserve">, </w:t>
      </w:r>
      <w:r w:rsidR="00A517D0" w:rsidRPr="00BF3409">
        <w:rPr>
          <w:rFonts w:ascii="Times New Roman" w:hAnsi="Times New Roman" w:cs="Times New Roman"/>
          <w:color w:val="000000" w:themeColor="text1"/>
          <w:sz w:val="18"/>
          <w:szCs w:val="18"/>
        </w:rPr>
        <w:t xml:space="preserve">‘Corporate </w:t>
      </w:r>
      <w:r w:rsidRPr="00BF3409">
        <w:rPr>
          <w:rFonts w:ascii="Times New Roman" w:hAnsi="Times New Roman" w:cs="Times New Roman"/>
          <w:color w:val="000000" w:themeColor="text1"/>
          <w:sz w:val="18"/>
          <w:szCs w:val="18"/>
        </w:rPr>
        <w:t xml:space="preserve">Social </w:t>
      </w:r>
      <w:r w:rsidR="00A517D0" w:rsidRPr="00BF3409">
        <w:rPr>
          <w:rFonts w:ascii="Times New Roman" w:hAnsi="Times New Roman" w:cs="Times New Roman"/>
          <w:color w:val="000000" w:themeColor="text1"/>
          <w:sz w:val="18"/>
          <w:szCs w:val="18"/>
        </w:rPr>
        <w:t xml:space="preserve">Bonds’ </w:t>
      </w:r>
      <w:r w:rsidRPr="00BF3409">
        <w:rPr>
          <w:rFonts w:ascii="Times New Roman" w:hAnsi="Times New Roman" w:cs="Times New Roman"/>
          <w:color w:val="000000" w:themeColor="text1"/>
          <w:sz w:val="18"/>
          <w:szCs w:val="18"/>
        </w:rPr>
        <w:t xml:space="preserve">(2020) 19(1) </w:t>
      </w:r>
      <w:r w:rsidRPr="00BF3409">
        <w:rPr>
          <w:rFonts w:ascii="Times New Roman" w:hAnsi="Times New Roman" w:cs="Times New Roman"/>
          <w:i/>
          <w:iCs/>
          <w:color w:val="000000" w:themeColor="text1"/>
          <w:sz w:val="18"/>
          <w:szCs w:val="18"/>
        </w:rPr>
        <w:t>Journal of Corporate Law Studies</w:t>
      </w:r>
      <w:r w:rsidRPr="00BF3409">
        <w:rPr>
          <w:rFonts w:ascii="Times New Roman" w:hAnsi="Times New Roman" w:cs="Times New Roman"/>
          <w:color w:val="000000" w:themeColor="text1"/>
          <w:sz w:val="18"/>
          <w:szCs w:val="18"/>
        </w:rPr>
        <w:t xml:space="preserve"> 45.</w:t>
      </w:r>
    </w:p>
  </w:footnote>
  <w:footnote w:id="20">
    <w:p w14:paraId="09117D0D" w14:textId="2FA18BB7" w:rsidR="008B50D1" w:rsidRPr="00BF3409" w:rsidRDefault="008B50D1" w:rsidP="00E118C3">
      <w:pPr>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t>
      </w:r>
      <w:r w:rsidR="00A517D0" w:rsidRPr="00BF3409">
        <w:rPr>
          <w:rFonts w:ascii="Times New Roman" w:hAnsi="Times New Roman" w:cs="Times New Roman"/>
          <w:color w:val="000000" w:themeColor="text1"/>
          <w:sz w:val="18"/>
          <w:szCs w:val="18"/>
        </w:rPr>
        <w:t xml:space="preserve">For </w:t>
      </w:r>
      <w:r w:rsidRPr="00BF3409">
        <w:rPr>
          <w:rFonts w:ascii="Times New Roman" w:hAnsi="Times New Roman" w:cs="Times New Roman"/>
          <w:color w:val="000000" w:themeColor="text1"/>
          <w:sz w:val="18"/>
          <w:szCs w:val="18"/>
        </w:rPr>
        <w:t>the role of international organisations and transnational networks in developing global ‘boiler plate’ corporate financing instruments</w:t>
      </w:r>
      <w:r w:rsidR="00A517D0" w:rsidRPr="00BF3409">
        <w:rPr>
          <w:rFonts w:ascii="Times New Roman" w:hAnsi="Times New Roman" w:cs="Times New Roman"/>
          <w:color w:val="000000" w:themeColor="text1"/>
          <w:sz w:val="18"/>
          <w:szCs w:val="18"/>
        </w:rPr>
        <w:t>, see</w:t>
      </w:r>
      <w:r w:rsidRPr="00BF3409">
        <w:rPr>
          <w:rFonts w:ascii="Times New Roman" w:hAnsi="Times New Roman" w:cs="Times New Roman"/>
          <w:color w:val="000000" w:themeColor="text1"/>
          <w:sz w:val="18"/>
          <w:szCs w:val="18"/>
        </w:rPr>
        <w:t xml:space="preserve"> Heather McKeen-Edwards and Tony Porter, </w:t>
      </w:r>
      <w:r w:rsidRPr="00BF3409">
        <w:rPr>
          <w:rFonts w:ascii="Times New Roman" w:hAnsi="Times New Roman" w:cs="Times New Roman"/>
          <w:i/>
          <w:iCs/>
          <w:color w:val="000000" w:themeColor="text1"/>
          <w:sz w:val="18"/>
          <w:szCs w:val="18"/>
        </w:rPr>
        <w:t>Transnational Financial Associations and the Governance of Global Finance: Assembling Wealth and Power</w:t>
      </w:r>
      <w:r w:rsidRPr="00BF3409">
        <w:rPr>
          <w:rFonts w:ascii="Times New Roman" w:hAnsi="Times New Roman" w:cs="Times New Roman"/>
          <w:color w:val="000000" w:themeColor="text1"/>
          <w:sz w:val="18"/>
          <w:szCs w:val="18"/>
        </w:rPr>
        <w:t xml:space="preserve"> (</w:t>
      </w:r>
      <w:r w:rsidR="00A517D0" w:rsidRPr="00BF3409">
        <w:rPr>
          <w:rFonts w:ascii="Times New Roman" w:hAnsi="Times New Roman" w:cs="Times New Roman"/>
          <w:color w:val="000000" w:themeColor="text1"/>
          <w:sz w:val="18"/>
          <w:szCs w:val="18"/>
        </w:rPr>
        <w:t xml:space="preserve">London: </w:t>
      </w:r>
      <w:r w:rsidRPr="00BF3409">
        <w:rPr>
          <w:rFonts w:ascii="Times New Roman" w:hAnsi="Times New Roman" w:cs="Times New Roman"/>
          <w:color w:val="000000" w:themeColor="text1"/>
          <w:sz w:val="18"/>
          <w:szCs w:val="18"/>
        </w:rPr>
        <w:t>Routledge, 2013</w:t>
      </w:r>
      <w:r w:rsidR="00A517D0" w:rsidRPr="00BF3409">
        <w:rPr>
          <w:rFonts w:ascii="Times New Roman" w:hAnsi="Times New Roman" w:cs="Times New Roman"/>
          <w:color w:val="000000" w:themeColor="text1"/>
          <w:sz w:val="18"/>
          <w:szCs w:val="18"/>
        </w:rPr>
        <w:t xml:space="preserve">); </w:t>
      </w:r>
      <w:proofErr w:type="spellStart"/>
      <w:r w:rsidRPr="00BF3409">
        <w:rPr>
          <w:rFonts w:ascii="Times New Roman" w:hAnsi="Times New Roman" w:cs="Times New Roman"/>
          <w:color w:val="000000" w:themeColor="text1"/>
          <w:sz w:val="18"/>
          <w:szCs w:val="18"/>
        </w:rPr>
        <w:t>Jordana</w:t>
      </w:r>
      <w:proofErr w:type="spellEnd"/>
      <w:r w:rsidRPr="00BF3409">
        <w:rPr>
          <w:rFonts w:ascii="Times New Roman" w:hAnsi="Times New Roman" w:cs="Times New Roman"/>
          <w:color w:val="000000" w:themeColor="text1"/>
          <w:sz w:val="18"/>
          <w:szCs w:val="18"/>
        </w:rPr>
        <w:t xml:space="preserve"> </w:t>
      </w:r>
      <w:proofErr w:type="spellStart"/>
      <w:r w:rsidRPr="00BF3409">
        <w:rPr>
          <w:rFonts w:ascii="Times New Roman" w:hAnsi="Times New Roman" w:cs="Times New Roman"/>
          <w:color w:val="000000" w:themeColor="text1"/>
          <w:sz w:val="18"/>
          <w:szCs w:val="18"/>
        </w:rPr>
        <w:t>Jacint</w:t>
      </w:r>
      <w:proofErr w:type="spellEnd"/>
      <w:r w:rsidRPr="00BF3409">
        <w:rPr>
          <w:rFonts w:ascii="Times New Roman" w:hAnsi="Times New Roman" w:cs="Times New Roman"/>
          <w:color w:val="000000" w:themeColor="text1"/>
          <w:sz w:val="18"/>
          <w:szCs w:val="18"/>
        </w:rPr>
        <w:t xml:space="preserve">, </w:t>
      </w:r>
      <w:r w:rsidR="00A517D0" w:rsidRPr="00BF3409">
        <w:rPr>
          <w:rFonts w:ascii="Times New Roman" w:hAnsi="Times New Roman" w:cs="Times New Roman"/>
          <w:color w:val="000000" w:themeColor="text1"/>
          <w:sz w:val="18"/>
          <w:szCs w:val="18"/>
        </w:rPr>
        <w:t>‘Trans</w:t>
      </w:r>
      <w:r w:rsidRPr="00BF3409">
        <w:rPr>
          <w:rFonts w:ascii="Times New Roman" w:hAnsi="Times New Roman" w:cs="Times New Roman"/>
          <w:color w:val="000000" w:themeColor="text1"/>
          <w:sz w:val="18"/>
          <w:szCs w:val="18"/>
        </w:rPr>
        <w:t xml:space="preserve">-Governmental Networks as Regulatory Intermediaries: Horizontal Collaboration and the Realities of Soft </w:t>
      </w:r>
      <w:r w:rsidR="00A517D0" w:rsidRPr="00BF3409">
        <w:rPr>
          <w:rFonts w:ascii="Times New Roman" w:hAnsi="Times New Roman" w:cs="Times New Roman"/>
          <w:color w:val="000000" w:themeColor="text1"/>
          <w:sz w:val="18"/>
          <w:szCs w:val="18"/>
        </w:rPr>
        <w:t xml:space="preserve">Power’ </w:t>
      </w:r>
      <w:r w:rsidRPr="00BF3409">
        <w:rPr>
          <w:rFonts w:ascii="Times New Roman" w:hAnsi="Times New Roman" w:cs="Times New Roman"/>
          <w:color w:val="000000" w:themeColor="text1"/>
          <w:sz w:val="18"/>
          <w:szCs w:val="18"/>
        </w:rPr>
        <w:t xml:space="preserve">(2017) 670(1) </w:t>
      </w:r>
      <w:r w:rsidRPr="00BF3409">
        <w:rPr>
          <w:rFonts w:ascii="Times New Roman" w:hAnsi="Times New Roman" w:cs="Times New Roman"/>
          <w:i/>
          <w:iCs/>
          <w:color w:val="000000" w:themeColor="text1"/>
          <w:sz w:val="18"/>
          <w:szCs w:val="18"/>
        </w:rPr>
        <w:t>Annals of the American Academy of Political and Social Science</w:t>
      </w:r>
      <w:r w:rsidRPr="00BF3409">
        <w:rPr>
          <w:rFonts w:ascii="Times New Roman" w:hAnsi="Times New Roman" w:cs="Times New Roman"/>
          <w:color w:val="000000" w:themeColor="text1"/>
          <w:sz w:val="18"/>
          <w:szCs w:val="18"/>
        </w:rPr>
        <w:t xml:space="preserve"> 245. </w:t>
      </w:r>
      <w:r w:rsidR="00A517D0" w:rsidRPr="00BF3409">
        <w:rPr>
          <w:rFonts w:ascii="Times New Roman" w:hAnsi="Times New Roman" w:cs="Times New Roman"/>
          <w:color w:val="000000" w:themeColor="text1"/>
          <w:sz w:val="18"/>
          <w:szCs w:val="18"/>
        </w:rPr>
        <w:t xml:space="preserve">For an exploration of </w:t>
      </w:r>
      <w:r w:rsidRPr="00BF3409">
        <w:rPr>
          <w:rFonts w:ascii="Times New Roman" w:hAnsi="Times New Roman" w:cs="Times New Roman"/>
          <w:color w:val="000000" w:themeColor="text1"/>
          <w:sz w:val="18"/>
          <w:szCs w:val="18"/>
        </w:rPr>
        <w:t>ISDA in the context of the securitisation market</w:t>
      </w:r>
      <w:r w:rsidR="00A517D0" w:rsidRPr="00BF3409">
        <w:rPr>
          <w:rFonts w:ascii="Times New Roman" w:hAnsi="Times New Roman" w:cs="Times New Roman"/>
          <w:color w:val="000000" w:themeColor="text1"/>
          <w:sz w:val="18"/>
          <w:szCs w:val="18"/>
        </w:rPr>
        <w:t xml:space="preserve">, see </w:t>
      </w:r>
      <w:r w:rsidRPr="00BF3409">
        <w:rPr>
          <w:rFonts w:ascii="Times New Roman" w:hAnsi="Times New Roman" w:cs="Times New Roman"/>
          <w:color w:val="000000" w:themeColor="text1"/>
          <w:sz w:val="18"/>
          <w:szCs w:val="18"/>
        </w:rPr>
        <w:t xml:space="preserve">Annelise Riles, </w:t>
      </w:r>
      <w:r w:rsidRPr="00BF3409">
        <w:rPr>
          <w:rFonts w:ascii="Times New Roman" w:hAnsi="Times New Roman" w:cs="Times New Roman"/>
          <w:i/>
          <w:iCs/>
          <w:color w:val="000000" w:themeColor="text1"/>
          <w:sz w:val="18"/>
          <w:szCs w:val="18"/>
        </w:rPr>
        <w:t>Collateral Knowledge: Legal Reasoning in the Global Financial Markets</w:t>
      </w:r>
      <w:r w:rsidRPr="00BF3409">
        <w:rPr>
          <w:rFonts w:ascii="Times New Roman" w:hAnsi="Times New Roman" w:cs="Times New Roman"/>
          <w:color w:val="000000" w:themeColor="text1"/>
          <w:sz w:val="18"/>
          <w:szCs w:val="18"/>
        </w:rPr>
        <w:t xml:space="preserve"> (</w:t>
      </w:r>
      <w:r w:rsidR="00A517D0" w:rsidRPr="00BF3409">
        <w:rPr>
          <w:rFonts w:ascii="Times New Roman" w:hAnsi="Times New Roman" w:cs="Times New Roman"/>
          <w:color w:val="000000" w:themeColor="text1"/>
          <w:sz w:val="18"/>
          <w:szCs w:val="18"/>
        </w:rPr>
        <w:t xml:space="preserve">Chicago: </w:t>
      </w:r>
      <w:r w:rsidRPr="00BF3409">
        <w:rPr>
          <w:rFonts w:ascii="Times New Roman" w:hAnsi="Times New Roman" w:cs="Times New Roman"/>
          <w:color w:val="000000" w:themeColor="text1"/>
          <w:sz w:val="18"/>
          <w:szCs w:val="18"/>
        </w:rPr>
        <w:t>University of Chicago Press, 2011)</w:t>
      </w:r>
      <w:r w:rsidR="00A517D0"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Eric </w:t>
      </w:r>
      <w:proofErr w:type="spellStart"/>
      <w:r w:rsidRPr="00BF3409">
        <w:rPr>
          <w:rFonts w:ascii="Times New Roman" w:hAnsi="Times New Roman" w:cs="Times New Roman"/>
          <w:color w:val="000000" w:themeColor="text1"/>
          <w:sz w:val="18"/>
          <w:szCs w:val="18"/>
        </w:rPr>
        <w:t>Helleiner</w:t>
      </w:r>
      <w:proofErr w:type="spellEnd"/>
      <w:r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i/>
          <w:iCs/>
          <w:color w:val="000000" w:themeColor="text1"/>
          <w:sz w:val="18"/>
          <w:szCs w:val="18"/>
        </w:rPr>
        <w:t>The Status Quo Crisis: Global Financial Governance After the 2008 Meltdown</w:t>
      </w:r>
      <w:r w:rsidRPr="00BF3409">
        <w:rPr>
          <w:rFonts w:ascii="Times New Roman" w:hAnsi="Times New Roman" w:cs="Times New Roman"/>
          <w:color w:val="000000" w:themeColor="text1"/>
          <w:sz w:val="18"/>
          <w:szCs w:val="18"/>
        </w:rPr>
        <w:t xml:space="preserve"> (</w:t>
      </w:r>
      <w:r w:rsidR="00A517D0" w:rsidRPr="00BF3409">
        <w:rPr>
          <w:rFonts w:ascii="Times New Roman" w:hAnsi="Times New Roman" w:cs="Times New Roman"/>
          <w:color w:val="000000" w:themeColor="text1"/>
          <w:sz w:val="18"/>
          <w:szCs w:val="18"/>
        </w:rPr>
        <w:t xml:space="preserve">Oxford: </w:t>
      </w:r>
      <w:r w:rsidRPr="00BF3409">
        <w:rPr>
          <w:rFonts w:ascii="Times New Roman" w:hAnsi="Times New Roman" w:cs="Times New Roman"/>
          <w:color w:val="000000" w:themeColor="text1"/>
          <w:sz w:val="18"/>
          <w:szCs w:val="18"/>
        </w:rPr>
        <w:t>Oxford University Press, 2014)</w:t>
      </w:r>
      <w:r w:rsidR="00A517D0" w:rsidRPr="00BF3409">
        <w:rPr>
          <w:rFonts w:ascii="Times New Roman" w:hAnsi="Times New Roman" w:cs="Times New Roman"/>
          <w:color w:val="000000" w:themeColor="text1"/>
          <w:sz w:val="18"/>
          <w:szCs w:val="18"/>
        </w:rPr>
        <w:t>.</w:t>
      </w:r>
    </w:p>
  </w:footnote>
  <w:footnote w:id="21">
    <w:p w14:paraId="697E988E" w14:textId="507290CF"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International Capital Market Association, </w:t>
      </w:r>
      <w:r w:rsidRPr="00BF3409">
        <w:rPr>
          <w:rFonts w:ascii="Times New Roman" w:hAnsi="Times New Roman" w:cs="Times New Roman"/>
          <w:i/>
          <w:iCs/>
          <w:color w:val="000000" w:themeColor="text1"/>
          <w:sz w:val="18"/>
          <w:szCs w:val="18"/>
        </w:rPr>
        <w:t>Green Bond Principles</w:t>
      </w:r>
      <w:r w:rsidRPr="00BF3409">
        <w:rPr>
          <w:rFonts w:ascii="Times New Roman" w:hAnsi="Times New Roman" w:cs="Times New Roman"/>
          <w:color w:val="000000" w:themeColor="text1"/>
          <w:sz w:val="18"/>
          <w:szCs w:val="18"/>
        </w:rPr>
        <w:t xml:space="preserve"> (ICMA 2014).</w:t>
      </w:r>
    </w:p>
  </w:footnote>
  <w:footnote w:id="22">
    <w:p w14:paraId="4F63C309" w14:textId="6379A7E0"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International Capital Market Association, </w:t>
      </w:r>
      <w:r w:rsidRPr="00BF3409">
        <w:rPr>
          <w:rFonts w:ascii="Times New Roman" w:hAnsi="Times New Roman" w:cs="Times New Roman"/>
          <w:i/>
          <w:iCs/>
          <w:color w:val="000000" w:themeColor="text1"/>
          <w:sz w:val="18"/>
          <w:szCs w:val="18"/>
        </w:rPr>
        <w:t>Social Bond Principles</w:t>
      </w:r>
      <w:r w:rsidRPr="00BF3409">
        <w:rPr>
          <w:rFonts w:ascii="Times New Roman" w:hAnsi="Times New Roman" w:cs="Times New Roman"/>
          <w:color w:val="000000" w:themeColor="text1"/>
          <w:sz w:val="18"/>
          <w:szCs w:val="18"/>
        </w:rPr>
        <w:t xml:space="preserve"> (ICMA 2018)</w:t>
      </w:r>
      <w:r w:rsidR="00A517D0"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International Capital Market Association, </w:t>
      </w:r>
      <w:r w:rsidRPr="00BF3409">
        <w:rPr>
          <w:rFonts w:ascii="Times New Roman" w:hAnsi="Times New Roman" w:cs="Times New Roman"/>
          <w:i/>
          <w:iCs/>
          <w:color w:val="000000" w:themeColor="text1"/>
          <w:sz w:val="18"/>
          <w:szCs w:val="18"/>
        </w:rPr>
        <w:t>Sustainability Bond Guidelines</w:t>
      </w:r>
      <w:r w:rsidRPr="00BF3409">
        <w:rPr>
          <w:rFonts w:ascii="Times New Roman" w:hAnsi="Times New Roman" w:cs="Times New Roman"/>
          <w:color w:val="000000" w:themeColor="text1"/>
          <w:sz w:val="18"/>
          <w:szCs w:val="18"/>
        </w:rPr>
        <w:t xml:space="preserve"> (ICMA 2018).</w:t>
      </w:r>
    </w:p>
  </w:footnote>
  <w:footnote w:id="23">
    <w:p w14:paraId="463ABD38" w14:textId="2A2D91E3"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International Capital Market Association, </w:t>
      </w:r>
      <w:r w:rsidRPr="00BF3409">
        <w:rPr>
          <w:rFonts w:ascii="Times New Roman" w:hAnsi="Times New Roman" w:cs="Times New Roman"/>
          <w:i/>
          <w:iCs/>
          <w:color w:val="000000" w:themeColor="text1"/>
          <w:sz w:val="18"/>
          <w:szCs w:val="18"/>
        </w:rPr>
        <w:t>Sustainability-Linked Bond Principles</w:t>
      </w:r>
      <w:r w:rsidRPr="00BF3409">
        <w:rPr>
          <w:rFonts w:ascii="Times New Roman" w:hAnsi="Times New Roman" w:cs="Times New Roman"/>
          <w:color w:val="000000" w:themeColor="text1"/>
          <w:sz w:val="18"/>
          <w:szCs w:val="18"/>
        </w:rPr>
        <w:t xml:space="preserve"> (ICMA 2020).</w:t>
      </w:r>
    </w:p>
  </w:footnote>
  <w:footnote w:id="24">
    <w:p w14:paraId="127E780B" w14:textId="33E1F055" w:rsidR="008B50D1" w:rsidRPr="00BF3409" w:rsidRDefault="008B50D1" w:rsidP="00E118C3">
      <w:pPr>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Loan Market Association, </w:t>
      </w:r>
      <w:r w:rsidRPr="00BF3409">
        <w:rPr>
          <w:rFonts w:ascii="Times New Roman" w:hAnsi="Times New Roman" w:cs="Times New Roman"/>
          <w:i/>
          <w:iCs/>
          <w:color w:val="000000" w:themeColor="text1"/>
          <w:sz w:val="18"/>
          <w:szCs w:val="18"/>
        </w:rPr>
        <w:t>Sustainable Loan Principles</w:t>
      </w:r>
      <w:r w:rsidRPr="00BF3409">
        <w:rPr>
          <w:rFonts w:ascii="Times New Roman" w:hAnsi="Times New Roman" w:cs="Times New Roman"/>
          <w:color w:val="000000" w:themeColor="text1"/>
          <w:sz w:val="18"/>
          <w:szCs w:val="18"/>
        </w:rPr>
        <w:t xml:space="preserve"> (LMA 2018).</w:t>
      </w:r>
    </w:p>
  </w:footnote>
  <w:footnote w:id="25">
    <w:p w14:paraId="69A77C0F" w14:textId="7DCDB69B"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Loan Market Association, </w:t>
      </w:r>
      <w:r w:rsidRPr="00BF3409">
        <w:rPr>
          <w:rFonts w:ascii="Times New Roman" w:hAnsi="Times New Roman" w:cs="Times New Roman"/>
          <w:i/>
          <w:iCs/>
          <w:color w:val="000000" w:themeColor="text1"/>
          <w:sz w:val="18"/>
          <w:szCs w:val="18"/>
        </w:rPr>
        <w:t xml:space="preserve">Sustainability-Linked Loan Principles </w:t>
      </w:r>
      <w:r w:rsidRPr="00BF3409">
        <w:rPr>
          <w:rFonts w:ascii="Times New Roman" w:hAnsi="Times New Roman" w:cs="Times New Roman"/>
          <w:color w:val="000000" w:themeColor="text1"/>
          <w:sz w:val="18"/>
          <w:szCs w:val="18"/>
        </w:rPr>
        <w:t>(LMA 2020).</w:t>
      </w:r>
    </w:p>
  </w:footnote>
  <w:footnote w:id="26">
    <w:p w14:paraId="2CCFFFB4" w14:textId="0651D3E8"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See e.g. Nikos </w:t>
      </w:r>
      <w:proofErr w:type="spellStart"/>
      <w:r w:rsidRPr="00BF3409">
        <w:rPr>
          <w:rFonts w:ascii="Times New Roman" w:hAnsi="Times New Roman" w:cs="Times New Roman"/>
          <w:color w:val="000000" w:themeColor="text1"/>
          <w:sz w:val="18"/>
          <w:szCs w:val="18"/>
        </w:rPr>
        <w:t>Maragopoulos</w:t>
      </w:r>
      <w:proofErr w:type="spellEnd"/>
      <w:r w:rsidRPr="00BF3409">
        <w:rPr>
          <w:rFonts w:ascii="Times New Roman" w:hAnsi="Times New Roman" w:cs="Times New Roman"/>
          <w:color w:val="000000" w:themeColor="text1"/>
          <w:sz w:val="18"/>
          <w:szCs w:val="18"/>
        </w:rPr>
        <w:t xml:space="preserve">, ‘Toward a European Green Bond Standard: A European Initiative to Promote Sustainable Finance’ in David Ramos Muñoz and Agnieszka </w:t>
      </w:r>
      <w:proofErr w:type="spellStart"/>
      <w:r w:rsidRPr="00BF3409">
        <w:rPr>
          <w:rFonts w:ascii="Times New Roman" w:hAnsi="Times New Roman" w:cs="Times New Roman"/>
          <w:color w:val="000000" w:themeColor="text1"/>
          <w:sz w:val="18"/>
          <w:szCs w:val="18"/>
        </w:rPr>
        <w:t>Smoleńska</w:t>
      </w:r>
      <w:proofErr w:type="spellEnd"/>
      <w:r w:rsidRPr="00BF3409">
        <w:rPr>
          <w:rFonts w:ascii="Times New Roman" w:hAnsi="Times New Roman" w:cs="Times New Roman"/>
          <w:color w:val="000000" w:themeColor="text1"/>
          <w:sz w:val="18"/>
          <w:szCs w:val="18"/>
        </w:rPr>
        <w:t xml:space="preserve"> (eds), </w:t>
      </w:r>
      <w:r w:rsidRPr="00BF3409">
        <w:rPr>
          <w:rFonts w:ascii="Times New Roman" w:hAnsi="Times New Roman" w:cs="Times New Roman"/>
          <w:i/>
          <w:iCs/>
          <w:color w:val="000000" w:themeColor="text1"/>
          <w:sz w:val="18"/>
          <w:szCs w:val="18"/>
        </w:rPr>
        <w:t>Greening the Bond Market: A European Perspective</w:t>
      </w:r>
      <w:r w:rsidRPr="00BF3409">
        <w:rPr>
          <w:rFonts w:ascii="Times New Roman" w:hAnsi="Times New Roman" w:cs="Times New Roman"/>
          <w:color w:val="000000" w:themeColor="text1"/>
          <w:sz w:val="18"/>
          <w:szCs w:val="18"/>
        </w:rPr>
        <w:t xml:space="preserve"> (</w:t>
      </w:r>
      <w:r w:rsidR="00A517D0" w:rsidRPr="00BF3409">
        <w:rPr>
          <w:rFonts w:ascii="Times New Roman" w:hAnsi="Times New Roman" w:cs="Times New Roman"/>
          <w:color w:val="000000" w:themeColor="text1"/>
          <w:sz w:val="18"/>
          <w:szCs w:val="18"/>
        </w:rPr>
        <w:t xml:space="preserve">Cham: </w:t>
      </w:r>
      <w:r w:rsidRPr="00BF3409">
        <w:rPr>
          <w:rFonts w:ascii="Times New Roman" w:hAnsi="Times New Roman" w:cs="Times New Roman"/>
          <w:color w:val="000000" w:themeColor="text1"/>
          <w:sz w:val="18"/>
          <w:szCs w:val="18"/>
        </w:rPr>
        <w:t>Palgrave Macmillan, 2023) 21</w:t>
      </w:r>
      <w:r w:rsidR="00A517D0"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 xml:space="preserve">Agnieszka </w:t>
      </w:r>
      <w:proofErr w:type="spellStart"/>
      <w:r w:rsidRPr="00BF3409">
        <w:rPr>
          <w:rFonts w:ascii="Times New Roman" w:hAnsi="Times New Roman" w:cs="Times New Roman"/>
          <w:color w:val="000000" w:themeColor="text1"/>
          <w:sz w:val="18"/>
          <w:szCs w:val="18"/>
        </w:rPr>
        <w:t>Smoleńska</w:t>
      </w:r>
      <w:proofErr w:type="spellEnd"/>
      <w:r w:rsidRPr="00BF3409">
        <w:rPr>
          <w:rFonts w:ascii="Times New Roman" w:hAnsi="Times New Roman" w:cs="Times New Roman"/>
          <w:color w:val="000000" w:themeColor="text1"/>
          <w:sz w:val="18"/>
          <w:szCs w:val="18"/>
        </w:rPr>
        <w:t xml:space="preserve">, </w:t>
      </w:r>
      <w:r w:rsidR="00A517D0"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European </w:t>
      </w:r>
      <w:r w:rsidR="00A517D0" w:rsidRPr="00BF3409">
        <w:rPr>
          <w:rFonts w:ascii="Times New Roman" w:hAnsi="Times New Roman" w:cs="Times New Roman"/>
          <w:color w:val="000000" w:themeColor="text1"/>
          <w:sz w:val="18"/>
          <w:szCs w:val="18"/>
        </w:rPr>
        <w:t xml:space="preserve">Capitalisms </w:t>
      </w:r>
      <w:r w:rsidRPr="00BF3409">
        <w:rPr>
          <w:rFonts w:ascii="Times New Roman" w:hAnsi="Times New Roman" w:cs="Times New Roman"/>
          <w:color w:val="000000" w:themeColor="text1"/>
          <w:sz w:val="18"/>
          <w:szCs w:val="18"/>
        </w:rPr>
        <w:t xml:space="preserve">in </w:t>
      </w:r>
      <w:r w:rsidR="00A517D0" w:rsidRPr="00BF3409">
        <w:rPr>
          <w:rFonts w:ascii="Times New Roman" w:hAnsi="Times New Roman" w:cs="Times New Roman"/>
          <w:color w:val="000000" w:themeColor="text1"/>
          <w:sz w:val="18"/>
          <w:szCs w:val="18"/>
        </w:rPr>
        <w:t>Sustainability Transition</w:t>
      </w:r>
      <w:r w:rsidRPr="00BF3409">
        <w:rPr>
          <w:rFonts w:ascii="Times New Roman" w:hAnsi="Times New Roman" w:cs="Times New Roman"/>
          <w:color w:val="000000" w:themeColor="text1"/>
          <w:sz w:val="18"/>
          <w:szCs w:val="18"/>
        </w:rPr>
        <w:t xml:space="preserve">: </w:t>
      </w:r>
      <w:r w:rsidR="00A517D0" w:rsidRPr="00BF3409">
        <w:rPr>
          <w:rFonts w:ascii="Times New Roman" w:hAnsi="Times New Roman" w:cs="Times New Roman"/>
          <w:color w:val="000000" w:themeColor="text1"/>
          <w:sz w:val="18"/>
          <w:szCs w:val="18"/>
        </w:rPr>
        <w:t xml:space="preserve">The Case </w:t>
      </w:r>
      <w:r w:rsidRPr="00BF3409">
        <w:rPr>
          <w:rFonts w:ascii="Times New Roman" w:hAnsi="Times New Roman" w:cs="Times New Roman"/>
          <w:color w:val="000000" w:themeColor="text1"/>
          <w:sz w:val="18"/>
          <w:szCs w:val="18"/>
        </w:rPr>
        <w:t xml:space="preserve">of </w:t>
      </w:r>
      <w:r w:rsidR="00A517D0" w:rsidRPr="00BF3409">
        <w:rPr>
          <w:rFonts w:ascii="Times New Roman" w:hAnsi="Times New Roman" w:cs="Times New Roman"/>
          <w:color w:val="000000" w:themeColor="text1"/>
          <w:sz w:val="18"/>
          <w:szCs w:val="18"/>
        </w:rPr>
        <w:t xml:space="preserve">Green Bonds’, </w:t>
      </w:r>
      <w:r w:rsidRPr="00BF3409">
        <w:rPr>
          <w:rFonts w:ascii="Times New Roman" w:hAnsi="Times New Roman" w:cs="Times New Roman"/>
          <w:i/>
          <w:iCs/>
          <w:color w:val="000000" w:themeColor="text1"/>
          <w:sz w:val="18"/>
          <w:szCs w:val="18"/>
        </w:rPr>
        <w:t>European Journal of Public Policy</w:t>
      </w:r>
      <w:r w:rsidRPr="00BF3409">
        <w:rPr>
          <w:rFonts w:ascii="Times New Roman" w:hAnsi="Times New Roman" w:cs="Times New Roman"/>
          <w:color w:val="000000" w:themeColor="text1"/>
          <w:sz w:val="18"/>
          <w:szCs w:val="18"/>
        </w:rPr>
        <w:t xml:space="preserve"> (2025). </w:t>
      </w:r>
    </w:p>
  </w:footnote>
  <w:footnote w:id="27">
    <w:p w14:paraId="51488238" w14:textId="0C3B286D"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Iris H‑Y Chiu, ‘The EU Sustainable Finance Agenda: Developing Governance for Double Materiality in Sustainability Metrics’ (2022) 23 </w:t>
      </w:r>
      <w:r w:rsidRPr="00BF3409">
        <w:rPr>
          <w:rFonts w:ascii="Times New Roman" w:hAnsi="Times New Roman" w:cs="Times New Roman"/>
          <w:i/>
          <w:iCs/>
          <w:sz w:val="18"/>
          <w:szCs w:val="18"/>
        </w:rPr>
        <w:t>European Business Organisation Law Review</w:t>
      </w:r>
      <w:r w:rsidRPr="00BF3409">
        <w:rPr>
          <w:rFonts w:ascii="Times New Roman" w:hAnsi="Times New Roman" w:cs="Times New Roman"/>
          <w:sz w:val="18"/>
          <w:szCs w:val="18"/>
        </w:rPr>
        <w:t xml:space="preserve"> 87</w:t>
      </w:r>
      <w:r w:rsidR="00202707" w:rsidRPr="00BF3409">
        <w:rPr>
          <w:rFonts w:ascii="Times New Roman" w:hAnsi="Times New Roman" w:cs="Times New Roman"/>
          <w:sz w:val="18"/>
          <w:szCs w:val="18"/>
        </w:rPr>
        <w:t xml:space="preserve">; </w:t>
      </w:r>
      <w:r w:rsidRPr="00BF3409">
        <w:rPr>
          <w:rFonts w:ascii="Times New Roman" w:hAnsi="Times New Roman" w:cs="Times New Roman"/>
          <w:sz w:val="18"/>
          <w:szCs w:val="18"/>
        </w:rPr>
        <w:t>Agnieszka </w:t>
      </w:r>
      <w:proofErr w:type="spellStart"/>
      <w:r w:rsidRPr="00BF3409">
        <w:rPr>
          <w:rFonts w:ascii="Times New Roman" w:hAnsi="Times New Roman" w:cs="Times New Roman"/>
          <w:sz w:val="18"/>
          <w:szCs w:val="18"/>
        </w:rPr>
        <w:t>Smoleńska</w:t>
      </w:r>
      <w:proofErr w:type="spellEnd"/>
      <w:r w:rsidRPr="00BF3409">
        <w:rPr>
          <w:rFonts w:ascii="Times New Roman" w:hAnsi="Times New Roman" w:cs="Times New Roman"/>
          <w:sz w:val="18"/>
          <w:szCs w:val="18"/>
        </w:rPr>
        <w:t xml:space="preserve">, ‘Euro as the Currency of the EU’s Green Transition’ (2022) 1 </w:t>
      </w:r>
      <w:r w:rsidRPr="00BF3409">
        <w:rPr>
          <w:rFonts w:ascii="Times New Roman" w:hAnsi="Times New Roman" w:cs="Times New Roman"/>
          <w:i/>
          <w:iCs/>
          <w:sz w:val="18"/>
          <w:szCs w:val="18"/>
        </w:rPr>
        <w:t>European Law Open</w:t>
      </w:r>
      <w:r w:rsidRPr="00BF3409">
        <w:rPr>
          <w:rFonts w:ascii="Times New Roman" w:hAnsi="Times New Roman" w:cs="Times New Roman"/>
          <w:sz w:val="18"/>
          <w:szCs w:val="18"/>
        </w:rPr>
        <w:t>.</w:t>
      </w:r>
    </w:p>
  </w:footnote>
  <w:footnote w:id="28">
    <w:p w14:paraId="13AB89D6" w14:textId="6B8E972A" w:rsidR="008B50D1" w:rsidRPr="00BF3409" w:rsidRDefault="008B50D1" w:rsidP="00E118C3">
      <w:pPr>
        <w:pStyle w:val="Tekstprzypisudolnego"/>
        <w:jc w:val="both"/>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Regulation (EU) 2023/2631 of the European Parliament and of the Council of 22 November 2023 on European Green Bonds and optional disclosures for bonds marketed as environmentally sustainable and for sustainability-linked bonds, OJ L, 2023/2631, 30</w:t>
      </w:r>
      <w:r w:rsidR="00202707" w:rsidRPr="00BF3409">
        <w:rPr>
          <w:rFonts w:ascii="Times New Roman" w:hAnsi="Times New Roman" w:cs="Times New Roman"/>
          <w:color w:val="000000" w:themeColor="text1"/>
          <w:sz w:val="18"/>
          <w:szCs w:val="18"/>
        </w:rPr>
        <w:t xml:space="preserve"> November </w:t>
      </w:r>
      <w:r w:rsidRPr="00BF3409">
        <w:rPr>
          <w:rFonts w:ascii="Times New Roman" w:hAnsi="Times New Roman" w:cs="Times New Roman"/>
          <w:color w:val="000000" w:themeColor="text1"/>
          <w:sz w:val="18"/>
          <w:szCs w:val="18"/>
        </w:rPr>
        <w:t>2023 (henceforth ‘EUGBR’). For commentary</w:t>
      </w:r>
      <w:r w:rsidR="00202707"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see Ramos Muñoz and </w:t>
      </w:r>
      <w:proofErr w:type="spellStart"/>
      <w:r w:rsidRPr="00BF3409">
        <w:rPr>
          <w:rFonts w:ascii="Times New Roman" w:hAnsi="Times New Roman" w:cs="Times New Roman"/>
          <w:color w:val="000000" w:themeColor="text1"/>
          <w:sz w:val="18"/>
          <w:szCs w:val="18"/>
        </w:rPr>
        <w:t>Smoleńska</w:t>
      </w:r>
      <w:proofErr w:type="spellEnd"/>
      <w:r w:rsidRPr="00BF3409">
        <w:rPr>
          <w:rFonts w:ascii="Times New Roman" w:hAnsi="Times New Roman" w:cs="Times New Roman"/>
          <w:color w:val="000000" w:themeColor="text1"/>
          <w:sz w:val="18"/>
          <w:szCs w:val="18"/>
        </w:rPr>
        <w:t>, n. 2</w:t>
      </w:r>
      <w:r w:rsidR="004C3209" w:rsidRPr="00BF3409">
        <w:rPr>
          <w:rFonts w:ascii="Times New Roman" w:hAnsi="Times New Roman" w:cs="Times New Roman"/>
          <w:color w:val="000000" w:themeColor="text1"/>
          <w:sz w:val="18"/>
          <w:szCs w:val="18"/>
        </w:rPr>
        <w:t>5</w:t>
      </w:r>
      <w:r w:rsidRPr="00BF3409">
        <w:rPr>
          <w:rFonts w:ascii="Times New Roman" w:hAnsi="Times New Roman" w:cs="Times New Roman"/>
          <w:color w:val="000000" w:themeColor="text1"/>
          <w:sz w:val="18"/>
          <w:szCs w:val="18"/>
        </w:rPr>
        <w:t xml:space="preserve">. </w:t>
      </w:r>
    </w:p>
  </w:footnote>
  <w:footnote w:id="29">
    <w:p w14:paraId="154AA0FC" w14:textId="40119D8A" w:rsidR="008B50D1" w:rsidRPr="00BF3409" w:rsidRDefault="008B50D1" w:rsidP="00E118C3">
      <w:pPr>
        <w:pStyle w:val="Tekstprzypisudolnego"/>
        <w:jc w:val="both"/>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Adrienne </w:t>
      </w:r>
      <w:proofErr w:type="spellStart"/>
      <w:r w:rsidRPr="00BF3409">
        <w:rPr>
          <w:rFonts w:ascii="Times New Roman" w:hAnsi="Times New Roman" w:cs="Times New Roman"/>
          <w:color w:val="000000" w:themeColor="text1"/>
          <w:sz w:val="18"/>
          <w:szCs w:val="18"/>
        </w:rPr>
        <w:t>Héritier</w:t>
      </w:r>
      <w:proofErr w:type="spellEnd"/>
      <w:r w:rsidRPr="00BF3409">
        <w:rPr>
          <w:rFonts w:ascii="Times New Roman" w:hAnsi="Times New Roman" w:cs="Times New Roman"/>
          <w:color w:val="000000" w:themeColor="text1"/>
          <w:sz w:val="18"/>
          <w:szCs w:val="18"/>
        </w:rPr>
        <w:t xml:space="preserve"> and Magnus G </w:t>
      </w:r>
      <w:proofErr w:type="spellStart"/>
      <w:r w:rsidRPr="00BF3409">
        <w:rPr>
          <w:rFonts w:ascii="Times New Roman" w:hAnsi="Times New Roman" w:cs="Times New Roman"/>
          <w:color w:val="000000" w:themeColor="text1"/>
          <w:sz w:val="18"/>
          <w:szCs w:val="18"/>
        </w:rPr>
        <w:t>Schoeller</w:t>
      </w:r>
      <w:proofErr w:type="spellEnd"/>
      <w:r w:rsidRPr="00BF3409">
        <w:rPr>
          <w:rFonts w:ascii="Times New Roman" w:hAnsi="Times New Roman" w:cs="Times New Roman"/>
          <w:color w:val="000000" w:themeColor="text1"/>
          <w:sz w:val="18"/>
          <w:szCs w:val="18"/>
        </w:rPr>
        <w:t xml:space="preserve"> (eds), </w:t>
      </w:r>
      <w:r w:rsidRPr="00BF3409">
        <w:rPr>
          <w:rFonts w:ascii="Times New Roman" w:hAnsi="Times New Roman" w:cs="Times New Roman"/>
          <w:i/>
          <w:iCs/>
          <w:color w:val="000000" w:themeColor="text1"/>
          <w:sz w:val="18"/>
          <w:szCs w:val="18"/>
        </w:rPr>
        <w:t>Governing Finance in Europe: A Centralisation of Rulemaking?</w:t>
      </w:r>
      <w:r w:rsidRPr="00BF3409">
        <w:rPr>
          <w:rFonts w:ascii="Times New Roman" w:hAnsi="Times New Roman" w:cs="Times New Roman"/>
          <w:color w:val="000000" w:themeColor="text1"/>
          <w:sz w:val="18"/>
          <w:szCs w:val="18"/>
        </w:rPr>
        <w:t xml:space="preserve"> (</w:t>
      </w:r>
      <w:r w:rsidR="00202707" w:rsidRPr="00BF3409">
        <w:rPr>
          <w:rFonts w:ascii="Times New Roman" w:hAnsi="Times New Roman" w:cs="Times New Roman"/>
          <w:color w:val="000000" w:themeColor="text1"/>
          <w:sz w:val="18"/>
          <w:szCs w:val="18"/>
        </w:rPr>
        <w:t xml:space="preserve">Cheltenham: </w:t>
      </w:r>
      <w:r w:rsidRPr="00BF3409">
        <w:rPr>
          <w:rFonts w:ascii="Times New Roman" w:hAnsi="Times New Roman" w:cs="Times New Roman"/>
          <w:color w:val="000000" w:themeColor="text1"/>
          <w:sz w:val="18"/>
          <w:szCs w:val="18"/>
        </w:rPr>
        <w:t>Edward Elgar Publishing, 2020).</w:t>
      </w:r>
    </w:p>
  </w:footnote>
  <w:footnote w:id="30">
    <w:p w14:paraId="6B0EAE66" w14:textId="073FCFF7" w:rsidR="008B50D1" w:rsidRPr="00BF3409" w:rsidRDefault="008B50D1" w:rsidP="00E118C3">
      <w:pPr>
        <w:pStyle w:val="Tekstprzypisudolnego"/>
        <w:jc w:val="both"/>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European Commission, ‘Communication from the Commission establishing guidelines for pre‑issuance disclosure templates for issuers of bonds marketed as environmentally sustainable or of sustainability-linked bonds’ (Commission Communication, 16 April 2025).</w:t>
      </w:r>
    </w:p>
  </w:footnote>
  <w:footnote w:id="31">
    <w:p w14:paraId="6FB0984E" w14:textId="352BC8B3" w:rsidR="008B50D1" w:rsidRPr="00BF3409" w:rsidRDefault="008B50D1" w:rsidP="00E118C3">
      <w:pPr>
        <w:pStyle w:val="Tekstprzypisudolnego"/>
        <w:jc w:val="both"/>
        <w:rPr>
          <w:rFonts w:ascii="Times New Roman" w:hAnsi="Times New Roman" w:cs="Times New Roman"/>
          <w:color w:val="000000" w:themeColor="text1"/>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r w:rsidR="00202707" w:rsidRPr="00BF3409">
        <w:rPr>
          <w:rFonts w:ascii="Times New Roman" w:hAnsi="Times New Roman" w:cs="Times New Roman"/>
          <w:sz w:val="18"/>
          <w:szCs w:val="18"/>
        </w:rPr>
        <w:t>T</w:t>
      </w:r>
      <w:r w:rsidRPr="00BF3409">
        <w:rPr>
          <w:rFonts w:ascii="Times New Roman" w:hAnsi="Times New Roman" w:cs="Times New Roman"/>
          <w:sz w:val="18"/>
          <w:szCs w:val="18"/>
        </w:rPr>
        <w:t xml:space="preserve">he European Banking Authority (EBA) did </w:t>
      </w:r>
      <w:r w:rsidR="00202707" w:rsidRPr="00BF3409">
        <w:rPr>
          <w:rFonts w:ascii="Times New Roman" w:hAnsi="Times New Roman" w:cs="Times New Roman"/>
          <w:sz w:val="18"/>
          <w:szCs w:val="18"/>
        </w:rPr>
        <w:t xml:space="preserve">however </w:t>
      </w:r>
      <w:r w:rsidRPr="00BF3409">
        <w:rPr>
          <w:rFonts w:ascii="Times New Roman" w:hAnsi="Times New Roman" w:cs="Times New Roman"/>
          <w:sz w:val="18"/>
          <w:szCs w:val="18"/>
        </w:rPr>
        <w:t>put forward a proposal for an EU definition of green loans</w:t>
      </w:r>
      <w:r w:rsidR="00202707" w:rsidRPr="00BF3409">
        <w:rPr>
          <w:rFonts w:ascii="Times New Roman" w:hAnsi="Times New Roman" w:cs="Times New Roman"/>
          <w:sz w:val="18"/>
          <w:szCs w:val="18"/>
        </w:rPr>
        <w:t xml:space="preserve"> – </w:t>
      </w:r>
      <w:r w:rsidRPr="00BF3409">
        <w:rPr>
          <w:rFonts w:ascii="Times New Roman" w:hAnsi="Times New Roman" w:cs="Times New Roman"/>
          <w:sz w:val="18"/>
          <w:szCs w:val="18"/>
        </w:rPr>
        <w:t>EBA, ‘Report in Re</w:t>
      </w:r>
      <w:r w:rsidR="00202707" w:rsidRPr="00BF3409">
        <w:rPr>
          <w:rFonts w:ascii="Times New Roman" w:hAnsi="Times New Roman" w:cs="Times New Roman"/>
          <w:sz w:val="18"/>
          <w:szCs w:val="18"/>
        </w:rPr>
        <w:t>s</w:t>
      </w:r>
      <w:r w:rsidRPr="00BF3409">
        <w:rPr>
          <w:rFonts w:ascii="Times New Roman" w:hAnsi="Times New Roman" w:cs="Times New Roman"/>
          <w:sz w:val="18"/>
          <w:szCs w:val="18"/>
        </w:rPr>
        <w:t>ponse to the Call for Evidence from the European Commission on Green Loans and Mortgages’ (2023). Note however, that under the CRR3 disclosures, large EU banks are obliged to disclose their sust</w:t>
      </w:r>
      <w:r w:rsidR="00202707" w:rsidRPr="00BF3409">
        <w:rPr>
          <w:rFonts w:ascii="Times New Roman" w:hAnsi="Times New Roman" w:cs="Times New Roman"/>
          <w:sz w:val="18"/>
          <w:szCs w:val="18"/>
        </w:rPr>
        <w:t>a</w:t>
      </w:r>
      <w:r w:rsidRPr="00BF3409">
        <w:rPr>
          <w:rFonts w:ascii="Times New Roman" w:hAnsi="Times New Roman" w:cs="Times New Roman"/>
          <w:sz w:val="18"/>
          <w:szCs w:val="18"/>
        </w:rPr>
        <w:t>inability lending, following own definitions</w:t>
      </w:r>
      <w:r w:rsidR="00202707" w:rsidRPr="00BF3409">
        <w:rPr>
          <w:rFonts w:ascii="Times New Roman" w:hAnsi="Times New Roman" w:cs="Times New Roman"/>
          <w:sz w:val="18"/>
          <w:szCs w:val="18"/>
        </w:rPr>
        <w:t xml:space="preserve"> – </w:t>
      </w:r>
      <w:r w:rsidRPr="00BF3409">
        <w:rPr>
          <w:rFonts w:ascii="Times New Roman" w:hAnsi="Times New Roman" w:cs="Times New Roman"/>
          <w:sz w:val="18"/>
          <w:szCs w:val="18"/>
        </w:rPr>
        <w:t xml:space="preserve">see </w:t>
      </w:r>
      <w:r w:rsidRPr="00BF3409">
        <w:rPr>
          <w:rFonts w:ascii="Times New Roman" w:hAnsi="Times New Roman" w:cs="Times New Roman"/>
          <w:color w:val="000000" w:themeColor="text1"/>
          <w:sz w:val="18"/>
          <w:szCs w:val="18"/>
        </w:rPr>
        <w:t>Commission Implementing Regulation (EU) 2022/2453 of 30 November 2022 amending the implementing technical standards laid down in Implementing Regulation (EU) 2021/637 as regards the disclosure of environmental, social and governance risks, OJ L 324, 19</w:t>
      </w:r>
      <w:r w:rsidR="00202707" w:rsidRPr="00BF3409">
        <w:rPr>
          <w:rFonts w:ascii="Times New Roman" w:hAnsi="Times New Roman" w:cs="Times New Roman"/>
          <w:color w:val="000000" w:themeColor="text1"/>
          <w:sz w:val="18"/>
          <w:szCs w:val="18"/>
        </w:rPr>
        <w:t xml:space="preserve"> December </w:t>
      </w:r>
      <w:r w:rsidRPr="00BF3409">
        <w:rPr>
          <w:rFonts w:ascii="Times New Roman" w:hAnsi="Times New Roman" w:cs="Times New Roman"/>
          <w:color w:val="000000" w:themeColor="text1"/>
          <w:sz w:val="18"/>
          <w:szCs w:val="18"/>
        </w:rPr>
        <w:t>2022, p</w:t>
      </w:r>
      <w:r w:rsidR="00202707" w:rsidRPr="00BF3409">
        <w:rPr>
          <w:rFonts w:ascii="Times New Roman" w:hAnsi="Times New Roman" w:cs="Times New Roman"/>
          <w:color w:val="000000" w:themeColor="text1"/>
          <w:sz w:val="18"/>
          <w:szCs w:val="18"/>
        </w:rPr>
        <w:t>p</w:t>
      </w:r>
      <w:r w:rsidRPr="00BF3409">
        <w:rPr>
          <w:rFonts w:ascii="Times New Roman" w:hAnsi="Times New Roman" w:cs="Times New Roman"/>
          <w:color w:val="000000" w:themeColor="text1"/>
          <w:sz w:val="18"/>
          <w:szCs w:val="18"/>
        </w:rPr>
        <w:t>. 1–54 (‘Pillar III ESG ITS’).</w:t>
      </w:r>
    </w:p>
  </w:footnote>
  <w:footnote w:id="32">
    <w:p w14:paraId="5629351E" w14:textId="6BBF42F5"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proofErr w:type="spellStart"/>
      <w:r w:rsidRPr="00BF3409">
        <w:rPr>
          <w:rFonts w:ascii="Times New Roman" w:hAnsi="Times New Roman" w:cs="Times New Roman"/>
          <w:sz w:val="18"/>
          <w:szCs w:val="18"/>
        </w:rPr>
        <w:t>Smoleńska</w:t>
      </w:r>
      <w:proofErr w:type="spellEnd"/>
      <w:r w:rsidRPr="00BF3409">
        <w:rPr>
          <w:rFonts w:ascii="Times New Roman" w:hAnsi="Times New Roman" w:cs="Times New Roman"/>
          <w:sz w:val="18"/>
          <w:szCs w:val="18"/>
        </w:rPr>
        <w:t>, n. 25.</w:t>
      </w:r>
    </w:p>
  </w:footnote>
  <w:footnote w:id="33">
    <w:p w14:paraId="70DDB0DA" w14:textId="5D3E7CDB"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While sustainable finance is a global trend</w:t>
      </w:r>
      <w:r w:rsidR="00202707" w:rsidRPr="00BF3409">
        <w:rPr>
          <w:rFonts w:ascii="Times New Roman" w:hAnsi="Times New Roman" w:cs="Times New Roman"/>
          <w:sz w:val="18"/>
          <w:szCs w:val="18"/>
        </w:rPr>
        <w:t>,</w:t>
      </w:r>
      <w:r w:rsidRPr="00BF3409">
        <w:rPr>
          <w:rFonts w:ascii="Times New Roman" w:hAnsi="Times New Roman" w:cs="Times New Roman"/>
          <w:sz w:val="18"/>
          <w:szCs w:val="18"/>
        </w:rPr>
        <w:t xml:space="preserve"> this multifaceted nature of EU intervention warrants</w:t>
      </w:r>
      <w:r w:rsidR="00906715" w:rsidRPr="00BF3409">
        <w:rPr>
          <w:rFonts w:ascii="Times New Roman" w:hAnsi="Times New Roman" w:cs="Times New Roman"/>
          <w:sz w:val="18"/>
          <w:szCs w:val="18"/>
        </w:rPr>
        <w:t xml:space="preserve"> a dedicated analysis</w:t>
      </w:r>
      <w:r w:rsidR="00202707" w:rsidRPr="00BF3409">
        <w:rPr>
          <w:rFonts w:ascii="Times New Roman" w:hAnsi="Times New Roman" w:cs="Times New Roman"/>
          <w:sz w:val="18"/>
          <w:szCs w:val="18"/>
        </w:rPr>
        <w:t xml:space="preserve"> – </w:t>
      </w:r>
      <w:r w:rsidRPr="00BF3409">
        <w:rPr>
          <w:rFonts w:ascii="Times New Roman" w:hAnsi="Times New Roman" w:cs="Times New Roman"/>
          <w:sz w:val="18"/>
          <w:szCs w:val="18"/>
        </w:rPr>
        <w:t xml:space="preserve">see e.g. </w:t>
      </w:r>
      <w:proofErr w:type="spellStart"/>
      <w:r w:rsidRPr="00BF3409">
        <w:rPr>
          <w:rFonts w:ascii="Times New Roman" w:hAnsi="Times New Roman" w:cs="Times New Roman"/>
          <w:sz w:val="18"/>
          <w:szCs w:val="18"/>
        </w:rPr>
        <w:t>Ioannis</w:t>
      </w:r>
      <w:proofErr w:type="spellEnd"/>
      <w:r w:rsidRPr="00BF3409">
        <w:rPr>
          <w:rFonts w:ascii="Times New Roman" w:hAnsi="Times New Roman" w:cs="Times New Roman"/>
          <w:sz w:val="18"/>
          <w:szCs w:val="18"/>
        </w:rPr>
        <w:t xml:space="preserve"> </w:t>
      </w:r>
      <w:proofErr w:type="spellStart"/>
      <w:r w:rsidRPr="00BF3409">
        <w:rPr>
          <w:rFonts w:ascii="Times New Roman" w:hAnsi="Times New Roman" w:cs="Times New Roman"/>
          <w:sz w:val="18"/>
          <w:szCs w:val="18"/>
        </w:rPr>
        <w:t>Kampourakis</w:t>
      </w:r>
      <w:proofErr w:type="spellEnd"/>
      <w:r w:rsidRPr="00BF3409">
        <w:rPr>
          <w:rFonts w:ascii="Times New Roman" w:hAnsi="Times New Roman" w:cs="Times New Roman"/>
          <w:sz w:val="18"/>
          <w:szCs w:val="18"/>
        </w:rPr>
        <w:t>, ‘The Market as an Instrument of Planning in Sustainability Capitalism’ (2023) 2(3) European Law Open 511. Future work may further expand the cross-jurisdictional perspective.</w:t>
      </w:r>
    </w:p>
  </w:footnote>
  <w:footnote w:id="34">
    <w:p w14:paraId="0447884C" w14:textId="05892794"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Jan </w:t>
      </w:r>
      <w:proofErr w:type="spellStart"/>
      <w:r w:rsidRPr="00BF3409">
        <w:rPr>
          <w:rFonts w:ascii="Times New Roman" w:hAnsi="Times New Roman" w:cs="Times New Roman"/>
          <w:color w:val="000000" w:themeColor="text1"/>
          <w:sz w:val="18"/>
          <w:szCs w:val="18"/>
        </w:rPr>
        <w:t>Fichtner</w:t>
      </w:r>
      <w:proofErr w:type="spellEnd"/>
      <w:r w:rsidRPr="00BF3409">
        <w:rPr>
          <w:rFonts w:ascii="Times New Roman" w:hAnsi="Times New Roman" w:cs="Times New Roman"/>
          <w:color w:val="000000" w:themeColor="text1"/>
          <w:sz w:val="18"/>
          <w:szCs w:val="18"/>
        </w:rPr>
        <w:t xml:space="preserve">, Robin </w:t>
      </w:r>
      <w:proofErr w:type="spellStart"/>
      <w:r w:rsidRPr="00BF3409">
        <w:rPr>
          <w:rFonts w:ascii="Times New Roman" w:hAnsi="Times New Roman" w:cs="Times New Roman"/>
          <w:color w:val="000000" w:themeColor="text1"/>
          <w:sz w:val="18"/>
          <w:szCs w:val="18"/>
        </w:rPr>
        <w:t>Jaspert</w:t>
      </w:r>
      <w:proofErr w:type="spellEnd"/>
      <w:r w:rsidRPr="00BF3409">
        <w:rPr>
          <w:rFonts w:ascii="Times New Roman" w:hAnsi="Times New Roman" w:cs="Times New Roman"/>
          <w:color w:val="000000" w:themeColor="text1"/>
          <w:sz w:val="18"/>
          <w:szCs w:val="18"/>
        </w:rPr>
        <w:t xml:space="preserve"> and Johannes Petry, ‘Mind the ESG </w:t>
      </w:r>
      <w:r w:rsidR="00202707" w:rsidRPr="00BF3409">
        <w:rPr>
          <w:rFonts w:ascii="Times New Roman" w:hAnsi="Times New Roman" w:cs="Times New Roman"/>
          <w:color w:val="000000" w:themeColor="text1"/>
          <w:sz w:val="18"/>
          <w:szCs w:val="18"/>
        </w:rPr>
        <w:t>Capital Allocation Gap</w:t>
      </w:r>
      <w:r w:rsidRPr="00BF3409">
        <w:rPr>
          <w:rFonts w:ascii="Times New Roman" w:hAnsi="Times New Roman" w:cs="Times New Roman"/>
          <w:color w:val="000000" w:themeColor="text1"/>
          <w:sz w:val="18"/>
          <w:szCs w:val="18"/>
        </w:rPr>
        <w:t xml:space="preserve">: The </w:t>
      </w:r>
      <w:r w:rsidR="00202707" w:rsidRPr="00BF3409">
        <w:rPr>
          <w:rFonts w:ascii="Times New Roman" w:hAnsi="Times New Roman" w:cs="Times New Roman"/>
          <w:color w:val="000000" w:themeColor="text1"/>
          <w:sz w:val="18"/>
          <w:szCs w:val="18"/>
        </w:rPr>
        <w:t xml:space="preserve">Role </w:t>
      </w:r>
      <w:r w:rsidRPr="00BF3409">
        <w:rPr>
          <w:rFonts w:ascii="Times New Roman" w:hAnsi="Times New Roman" w:cs="Times New Roman"/>
          <w:color w:val="000000" w:themeColor="text1"/>
          <w:sz w:val="18"/>
          <w:szCs w:val="18"/>
        </w:rPr>
        <w:t xml:space="preserve">of </w:t>
      </w:r>
      <w:r w:rsidR="00202707" w:rsidRPr="00BF3409">
        <w:rPr>
          <w:rFonts w:ascii="Times New Roman" w:hAnsi="Times New Roman" w:cs="Times New Roman"/>
          <w:color w:val="000000" w:themeColor="text1"/>
          <w:sz w:val="18"/>
          <w:szCs w:val="18"/>
        </w:rPr>
        <w:t>Index Providers</w:t>
      </w:r>
      <w:r w:rsidRPr="00BF3409">
        <w:rPr>
          <w:rFonts w:ascii="Times New Roman" w:hAnsi="Times New Roman" w:cs="Times New Roman"/>
          <w:color w:val="000000" w:themeColor="text1"/>
          <w:sz w:val="18"/>
          <w:szCs w:val="18"/>
        </w:rPr>
        <w:t xml:space="preserve">, </w:t>
      </w:r>
      <w:r w:rsidR="00202707" w:rsidRPr="00BF3409">
        <w:rPr>
          <w:rFonts w:ascii="Times New Roman" w:hAnsi="Times New Roman" w:cs="Times New Roman"/>
          <w:color w:val="000000" w:themeColor="text1"/>
          <w:sz w:val="18"/>
          <w:szCs w:val="18"/>
        </w:rPr>
        <w:t>Standard</w:t>
      </w:r>
      <w:r w:rsidRPr="00BF3409">
        <w:rPr>
          <w:rFonts w:ascii="Times New Roman" w:hAnsi="Times New Roman" w:cs="Times New Roman"/>
          <w:color w:val="000000" w:themeColor="text1"/>
          <w:sz w:val="18"/>
          <w:szCs w:val="18"/>
        </w:rPr>
        <w:t>-setting, and “</w:t>
      </w:r>
      <w:r w:rsidR="00202707" w:rsidRPr="00BF3409">
        <w:rPr>
          <w:rFonts w:ascii="Times New Roman" w:hAnsi="Times New Roman" w:cs="Times New Roman"/>
          <w:color w:val="000000" w:themeColor="text1"/>
          <w:sz w:val="18"/>
          <w:szCs w:val="18"/>
        </w:rPr>
        <w:t>Green</w:t>
      </w:r>
      <w:r w:rsidRPr="00BF3409">
        <w:rPr>
          <w:rFonts w:ascii="Times New Roman" w:hAnsi="Times New Roman" w:cs="Times New Roman"/>
          <w:color w:val="000000" w:themeColor="text1"/>
          <w:sz w:val="18"/>
          <w:szCs w:val="18"/>
        </w:rPr>
        <w:t xml:space="preserve">” </w:t>
      </w:r>
      <w:r w:rsidR="00202707" w:rsidRPr="00BF3409">
        <w:rPr>
          <w:rFonts w:ascii="Times New Roman" w:hAnsi="Times New Roman" w:cs="Times New Roman"/>
          <w:color w:val="000000" w:themeColor="text1"/>
          <w:sz w:val="18"/>
          <w:szCs w:val="18"/>
        </w:rPr>
        <w:t xml:space="preserve">Indices </w:t>
      </w:r>
      <w:r w:rsidRPr="00BF3409">
        <w:rPr>
          <w:rFonts w:ascii="Times New Roman" w:hAnsi="Times New Roman" w:cs="Times New Roman"/>
          <w:color w:val="000000" w:themeColor="text1"/>
          <w:sz w:val="18"/>
          <w:szCs w:val="18"/>
        </w:rPr>
        <w:t xml:space="preserve">for the </w:t>
      </w:r>
      <w:r w:rsidR="00202707" w:rsidRPr="00BF3409">
        <w:rPr>
          <w:rFonts w:ascii="Times New Roman" w:hAnsi="Times New Roman" w:cs="Times New Roman"/>
          <w:color w:val="000000" w:themeColor="text1"/>
          <w:sz w:val="18"/>
          <w:szCs w:val="18"/>
        </w:rPr>
        <w:t xml:space="preserve">Creation </w:t>
      </w:r>
      <w:r w:rsidRPr="00BF3409">
        <w:rPr>
          <w:rFonts w:ascii="Times New Roman" w:hAnsi="Times New Roman" w:cs="Times New Roman"/>
          <w:color w:val="000000" w:themeColor="text1"/>
          <w:sz w:val="18"/>
          <w:szCs w:val="18"/>
        </w:rPr>
        <w:t xml:space="preserve">of </w:t>
      </w:r>
      <w:r w:rsidR="00202707" w:rsidRPr="00BF3409">
        <w:rPr>
          <w:rFonts w:ascii="Times New Roman" w:hAnsi="Times New Roman" w:cs="Times New Roman"/>
          <w:color w:val="000000" w:themeColor="text1"/>
          <w:sz w:val="18"/>
          <w:szCs w:val="18"/>
        </w:rPr>
        <w:t xml:space="preserve">Sustainability Impact’ </w:t>
      </w:r>
      <w:r w:rsidRPr="00BF3409">
        <w:rPr>
          <w:rFonts w:ascii="Times New Roman" w:hAnsi="Times New Roman" w:cs="Times New Roman"/>
          <w:color w:val="000000" w:themeColor="text1"/>
          <w:sz w:val="18"/>
          <w:szCs w:val="18"/>
        </w:rPr>
        <w:t xml:space="preserve">(2024) 18 </w:t>
      </w:r>
      <w:r w:rsidRPr="00BF3409">
        <w:rPr>
          <w:rFonts w:ascii="Times New Roman" w:hAnsi="Times New Roman" w:cs="Times New Roman"/>
          <w:i/>
          <w:iCs/>
          <w:color w:val="000000" w:themeColor="text1"/>
          <w:sz w:val="18"/>
          <w:szCs w:val="18"/>
        </w:rPr>
        <w:t>Regulation &amp; Governance</w:t>
      </w:r>
      <w:r w:rsidRPr="00BF3409">
        <w:rPr>
          <w:rFonts w:ascii="Times New Roman" w:hAnsi="Times New Roman" w:cs="Times New Roman"/>
          <w:color w:val="000000" w:themeColor="text1"/>
          <w:sz w:val="18"/>
          <w:szCs w:val="18"/>
        </w:rPr>
        <w:t xml:space="preserve"> 479</w:t>
      </w:r>
      <w:r w:rsidR="00202707"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 xml:space="preserve">Matthew Archer, </w:t>
      </w:r>
      <w:r w:rsidR="00202707" w:rsidRPr="00BF3409">
        <w:rPr>
          <w:rFonts w:ascii="Times New Roman" w:hAnsi="Times New Roman" w:cs="Times New Roman"/>
          <w:color w:val="000000" w:themeColor="text1"/>
          <w:sz w:val="18"/>
          <w:szCs w:val="18"/>
        </w:rPr>
        <w:t xml:space="preserve">‘Governing </w:t>
      </w:r>
      <w:r w:rsidRPr="00BF3409">
        <w:rPr>
          <w:rFonts w:ascii="Times New Roman" w:hAnsi="Times New Roman" w:cs="Times New Roman"/>
          <w:color w:val="000000" w:themeColor="text1"/>
          <w:sz w:val="18"/>
          <w:szCs w:val="18"/>
        </w:rPr>
        <w:t xml:space="preserve">through ESG and the Green Spirit of Asset Manager </w:t>
      </w:r>
      <w:r w:rsidR="00202707" w:rsidRPr="00BF3409">
        <w:rPr>
          <w:rFonts w:ascii="Times New Roman" w:hAnsi="Times New Roman" w:cs="Times New Roman"/>
          <w:color w:val="000000" w:themeColor="text1"/>
          <w:sz w:val="18"/>
          <w:szCs w:val="18"/>
        </w:rPr>
        <w:t xml:space="preserve">Capitalism’ </w:t>
      </w:r>
      <w:r w:rsidRPr="00BF3409">
        <w:rPr>
          <w:rFonts w:ascii="Times New Roman" w:hAnsi="Times New Roman" w:cs="Times New Roman"/>
          <w:color w:val="000000" w:themeColor="text1"/>
          <w:sz w:val="18"/>
          <w:szCs w:val="18"/>
        </w:rPr>
        <w:t xml:space="preserve">(2024) 56(2) </w:t>
      </w:r>
      <w:r w:rsidRPr="00BF3409">
        <w:rPr>
          <w:rFonts w:ascii="Times New Roman" w:hAnsi="Times New Roman" w:cs="Times New Roman"/>
          <w:i/>
          <w:iCs/>
          <w:color w:val="000000" w:themeColor="text1"/>
          <w:sz w:val="18"/>
          <w:szCs w:val="18"/>
        </w:rPr>
        <w:t>Environment and Planning A: Economy and Space</w:t>
      </w:r>
      <w:r w:rsidRPr="00BF3409">
        <w:rPr>
          <w:rFonts w:ascii="Times New Roman" w:hAnsi="Times New Roman" w:cs="Times New Roman"/>
          <w:color w:val="000000" w:themeColor="text1"/>
          <w:sz w:val="18"/>
          <w:szCs w:val="18"/>
        </w:rPr>
        <w:t xml:space="preserve"> 662.</w:t>
      </w:r>
    </w:p>
  </w:footnote>
  <w:footnote w:id="35">
    <w:p w14:paraId="71C64041" w14:textId="323B6F56"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See e.g. Megan Bowman, </w:t>
      </w:r>
      <w:r w:rsidR="00202707" w:rsidRPr="00BF3409">
        <w:rPr>
          <w:rFonts w:ascii="Times New Roman" w:hAnsi="Times New Roman" w:cs="Times New Roman"/>
          <w:color w:val="000000" w:themeColor="text1"/>
          <w:sz w:val="18"/>
          <w:szCs w:val="18"/>
        </w:rPr>
        <w:t xml:space="preserve">‘Law </w:t>
      </w:r>
      <w:r w:rsidRPr="00BF3409">
        <w:rPr>
          <w:rFonts w:ascii="Times New Roman" w:hAnsi="Times New Roman" w:cs="Times New Roman"/>
          <w:color w:val="000000" w:themeColor="text1"/>
          <w:sz w:val="18"/>
          <w:szCs w:val="18"/>
        </w:rPr>
        <w:t xml:space="preserve">and Regulation for Climate Finance: Presenting a Legal Analytical </w:t>
      </w:r>
      <w:r w:rsidR="00202707" w:rsidRPr="00BF3409">
        <w:rPr>
          <w:rFonts w:ascii="Times New Roman" w:hAnsi="Times New Roman" w:cs="Times New Roman"/>
          <w:color w:val="000000" w:themeColor="text1"/>
          <w:sz w:val="18"/>
          <w:szCs w:val="18"/>
        </w:rPr>
        <w:t xml:space="preserve">Framework’ </w:t>
      </w:r>
      <w:r w:rsidRPr="00BF3409">
        <w:rPr>
          <w:rFonts w:ascii="Times New Roman" w:hAnsi="Times New Roman" w:cs="Times New Roman"/>
          <w:color w:val="000000" w:themeColor="text1"/>
          <w:sz w:val="18"/>
          <w:szCs w:val="18"/>
        </w:rPr>
        <w:t xml:space="preserve">in Rene Smits (ed), </w:t>
      </w:r>
      <w:r w:rsidRPr="00BF3409">
        <w:rPr>
          <w:rFonts w:ascii="Times New Roman" w:hAnsi="Times New Roman" w:cs="Times New Roman"/>
          <w:i/>
          <w:iCs/>
          <w:color w:val="000000" w:themeColor="text1"/>
          <w:sz w:val="18"/>
          <w:szCs w:val="18"/>
        </w:rPr>
        <w:t>Climate Change and Sustainable Finance: Law and Regulation</w:t>
      </w:r>
      <w:r w:rsidRPr="00BF3409">
        <w:rPr>
          <w:rFonts w:ascii="Times New Roman" w:hAnsi="Times New Roman" w:cs="Times New Roman"/>
          <w:color w:val="000000" w:themeColor="text1"/>
          <w:sz w:val="18"/>
          <w:szCs w:val="18"/>
        </w:rPr>
        <w:t xml:space="preserve"> (</w:t>
      </w:r>
      <w:r w:rsidR="00202707" w:rsidRPr="00BF3409">
        <w:rPr>
          <w:rFonts w:ascii="Times New Roman" w:hAnsi="Times New Roman" w:cs="Times New Roman"/>
          <w:color w:val="000000" w:themeColor="text1"/>
          <w:sz w:val="18"/>
          <w:szCs w:val="18"/>
        </w:rPr>
        <w:t xml:space="preserve">Cheltenham: </w:t>
      </w:r>
      <w:r w:rsidRPr="00BF3409">
        <w:rPr>
          <w:rFonts w:ascii="Times New Roman" w:hAnsi="Times New Roman" w:cs="Times New Roman"/>
          <w:color w:val="000000" w:themeColor="text1"/>
          <w:sz w:val="18"/>
          <w:szCs w:val="18"/>
        </w:rPr>
        <w:t>Edward Elgar, 2024)</w:t>
      </w:r>
      <w:r w:rsidR="00202707" w:rsidRPr="00BF3409">
        <w:rPr>
          <w:rFonts w:ascii="Times New Roman" w:hAnsi="Times New Roman" w:cs="Times New Roman"/>
          <w:color w:val="000000" w:themeColor="text1"/>
          <w:sz w:val="18"/>
          <w:szCs w:val="18"/>
        </w:rPr>
        <w:t>.</w:t>
      </w:r>
    </w:p>
  </w:footnote>
  <w:footnote w:id="36">
    <w:p w14:paraId="5968F4F4" w14:textId="62165FF2" w:rsidR="008B50D1" w:rsidRPr="00BF3409" w:rsidRDefault="008B50D1" w:rsidP="00E118C3">
      <w:pPr>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See especially </w:t>
      </w:r>
      <w:proofErr w:type="spellStart"/>
      <w:r w:rsidRPr="00BF3409">
        <w:rPr>
          <w:rFonts w:ascii="Times New Roman" w:hAnsi="Times New Roman" w:cs="Times New Roman"/>
          <w:color w:val="000000" w:themeColor="text1"/>
          <w:sz w:val="18"/>
          <w:szCs w:val="18"/>
        </w:rPr>
        <w:t>Pistor</w:t>
      </w:r>
      <w:proofErr w:type="spellEnd"/>
      <w:r w:rsidRPr="00BF3409">
        <w:rPr>
          <w:rFonts w:ascii="Times New Roman" w:hAnsi="Times New Roman" w:cs="Times New Roman"/>
          <w:color w:val="000000" w:themeColor="text1"/>
          <w:sz w:val="18"/>
          <w:szCs w:val="18"/>
        </w:rPr>
        <w:t xml:space="preserve">, n. 6 </w:t>
      </w:r>
      <w:r w:rsidR="0013291E" w:rsidRPr="00BF3409">
        <w:rPr>
          <w:rFonts w:ascii="Times New Roman" w:hAnsi="Times New Roman" w:cs="Times New Roman"/>
          <w:color w:val="000000" w:themeColor="text1"/>
          <w:sz w:val="18"/>
          <w:szCs w:val="18"/>
        </w:rPr>
        <w:t xml:space="preserve">on </w:t>
      </w:r>
      <w:r w:rsidRPr="00BF3409">
        <w:rPr>
          <w:rFonts w:ascii="Times New Roman" w:hAnsi="Times New Roman" w:cs="Times New Roman"/>
          <w:color w:val="000000" w:themeColor="text1"/>
          <w:sz w:val="18"/>
          <w:szCs w:val="18"/>
        </w:rPr>
        <w:t>Legal Theory of Finance</w:t>
      </w:r>
      <w:r w:rsidR="0013291E"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 xml:space="preserve">also </w:t>
      </w:r>
      <w:r w:rsidR="0013291E" w:rsidRPr="00BF3409">
        <w:rPr>
          <w:rFonts w:ascii="Times New Roman" w:hAnsi="Times New Roman" w:cs="Times New Roman"/>
          <w:color w:val="000000" w:themeColor="text1"/>
          <w:sz w:val="18"/>
          <w:szCs w:val="18"/>
        </w:rPr>
        <w:t>from</w:t>
      </w:r>
      <w:r w:rsidRPr="00BF3409">
        <w:rPr>
          <w:rFonts w:ascii="Times New Roman" w:hAnsi="Times New Roman" w:cs="Times New Roman"/>
          <w:color w:val="000000" w:themeColor="text1"/>
          <w:sz w:val="18"/>
          <w:szCs w:val="18"/>
        </w:rPr>
        <w:t xml:space="preserve"> a regulatory perspective: Katharina </w:t>
      </w:r>
      <w:proofErr w:type="spellStart"/>
      <w:r w:rsidRPr="00BF3409">
        <w:rPr>
          <w:rFonts w:ascii="Times New Roman" w:hAnsi="Times New Roman" w:cs="Times New Roman"/>
          <w:color w:val="000000" w:themeColor="text1"/>
          <w:sz w:val="18"/>
          <w:szCs w:val="18"/>
        </w:rPr>
        <w:t>Pistor</w:t>
      </w:r>
      <w:proofErr w:type="spellEnd"/>
      <w:r w:rsidRPr="00BF3409">
        <w:rPr>
          <w:rFonts w:ascii="Times New Roman" w:hAnsi="Times New Roman" w:cs="Times New Roman"/>
          <w:color w:val="000000" w:themeColor="text1"/>
          <w:sz w:val="18"/>
          <w:szCs w:val="18"/>
        </w:rPr>
        <w:t xml:space="preserve">, </w:t>
      </w:r>
      <w:r w:rsidR="003A5C01" w:rsidRPr="00BF3409">
        <w:rPr>
          <w:rFonts w:ascii="Times New Roman" w:hAnsi="Times New Roman" w:cs="Times New Roman"/>
          <w:color w:val="000000" w:themeColor="text1"/>
          <w:sz w:val="18"/>
          <w:szCs w:val="18"/>
        </w:rPr>
        <w:t xml:space="preserve">‘Regulating </w:t>
      </w:r>
      <w:r w:rsidRPr="00BF3409">
        <w:rPr>
          <w:rFonts w:ascii="Times New Roman" w:hAnsi="Times New Roman" w:cs="Times New Roman"/>
          <w:color w:val="000000" w:themeColor="text1"/>
          <w:sz w:val="18"/>
          <w:szCs w:val="18"/>
        </w:rPr>
        <w:t xml:space="preserve">Financial Markets – An LTF </w:t>
      </w:r>
      <w:r w:rsidR="003A5C01" w:rsidRPr="00BF3409">
        <w:rPr>
          <w:rFonts w:ascii="Times New Roman" w:hAnsi="Times New Roman" w:cs="Times New Roman"/>
          <w:color w:val="000000" w:themeColor="text1"/>
          <w:sz w:val="18"/>
          <w:szCs w:val="18"/>
        </w:rPr>
        <w:t xml:space="preserve">Perspective’ </w:t>
      </w:r>
      <w:r w:rsidRPr="00BF3409">
        <w:rPr>
          <w:rFonts w:ascii="Times New Roman" w:hAnsi="Times New Roman" w:cs="Times New Roman"/>
          <w:color w:val="000000" w:themeColor="text1"/>
          <w:sz w:val="18"/>
          <w:szCs w:val="18"/>
        </w:rPr>
        <w:t xml:space="preserve">in </w:t>
      </w:r>
      <w:proofErr w:type="spellStart"/>
      <w:r w:rsidRPr="00BF3409">
        <w:rPr>
          <w:rFonts w:ascii="Times New Roman" w:hAnsi="Times New Roman" w:cs="Times New Roman"/>
          <w:color w:val="000000" w:themeColor="text1"/>
          <w:sz w:val="18"/>
          <w:szCs w:val="18"/>
        </w:rPr>
        <w:t>Emilios</w:t>
      </w:r>
      <w:proofErr w:type="spellEnd"/>
      <w:r w:rsidRPr="00BF3409">
        <w:rPr>
          <w:rFonts w:ascii="Times New Roman" w:hAnsi="Times New Roman" w:cs="Times New Roman"/>
          <w:color w:val="000000" w:themeColor="text1"/>
          <w:sz w:val="18"/>
          <w:szCs w:val="18"/>
        </w:rPr>
        <w:t xml:space="preserve"> </w:t>
      </w:r>
      <w:proofErr w:type="spellStart"/>
      <w:r w:rsidRPr="00BF3409">
        <w:rPr>
          <w:rFonts w:ascii="Times New Roman" w:hAnsi="Times New Roman" w:cs="Times New Roman"/>
          <w:color w:val="000000" w:themeColor="text1"/>
          <w:sz w:val="18"/>
          <w:szCs w:val="18"/>
        </w:rPr>
        <w:t>Avgouleas</w:t>
      </w:r>
      <w:proofErr w:type="spellEnd"/>
      <w:r w:rsidRPr="00BF3409">
        <w:rPr>
          <w:rFonts w:ascii="Times New Roman" w:hAnsi="Times New Roman" w:cs="Times New Roman"/>
          <w:color w:val="000000" w:themeColor="text1"/>
          <w:sz w:val="18"/>
          <w:szCs w:val="18"/>
        </w:rPr>
        <w:t xml:space="preserve"> and David C. Donald (eds), </w:t>
      </w:r>
      <w:r w:rsidRPr="00BF3409">
        <w:rPr>
          <w:rFonts w:ascii="Times New Roman" w:hAnsi="Times New Roman" w:cs="Times New Roman"/>
          <w:i/>
          <w:iCs/>
          <w:color w:val="000000" w:themeColor="text1"/>
          <w:sz w:val="18"/>
          <w:szCs w:val="18"/>
        </w:rPr>
        <w:t>The Political Economy of Financial Regulation</w:t>
      </w:r>
      <w:r w:rsidRPr="00BF3409">
        <w:rPr>
          <w:rFonts w:ascii="Times New Roman" w:hAnsi="Times New Roman" w:cs="Times New Roman"/>
          <w:color w:val="000000" w:themeColor="text1"/>
          <w:sz w:val="18"/>
          <w:szCs w:val="18"/>
        </w:rPr>
        <w:t xml:space="preserve"> (</w:t>
      </w:r>
      <w:r w:rsidR="003A5C01" w:rsidRPr="00BF3409">
        <w:rPr>
          <w:rFonts w:ascii="Times New Roman" w:hAnsi="Times New Roman" w:cs="Times New Roman"/>
          <w:color w:val="000000" w:themeColor="text1"/>
          <w:sz w:val="18"/>
          <w:szCs w:val="18"/>
        </w:rPr>
        <w:t xml:space="preserve">Cambridge: </w:t>
      </w:r>
      <w:r w:rsidRPr="00BF3409">
        <w:rPr>
          <w:rFonts w:ascii="Times New Roman" w:hAnsi="Times New Roman" w:cs="Times New Roman"/>
          <w:color w:val="000000" w:themeColor="text1"/>
          <w:sz w:val="18"/>
          <w:szCs w:val="18"/>
        </w:rPr>
        <w:t>Cambridge University Press, 2019) 19</w:t>
      </w:r>
      <w:r w:rsidR="003A5C0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37.</w:t>
      </w:r>
    </w:p>
  </w:footnote>
  <w:footnote w:id="37">
    <w:p w14:paraId="2D64C7C7" w14:textId="218E91D2"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Simon Deakin, David </w:t>
      </w:r>
      <w:proofErr w:type="spellStart"/>
      <w:r w:rsidRPr="00BF3409">
        <w:rPr>
          <w:rFonts w:ascii="Times New Roman" w:hAnsi="Times New Roman" w:cs="Times New Roman"/>
          <w:sz w:val="18"/>
          <w:szCs w:val="18"/>
        </w:rPr>
        <w:t>Gindis</w:t>
      </w:r>
      <w:proofErr w:type="spellEnd"/>
      <w:r w:rsidRPr="00BF3409">
        <w:rPr>
          <w:rFonts w:ascii="Times New Roman" w:hAnsi="Times New Roman" w:cs="Times New Roman"/>
          <w:sz w:val="18"/>
          <w:szCs w:val="18"/>
        </w:rPr>
        <w:t xml:space="preserve">, Geoffrey M Hodgson and </w:t>
      </w:r>
      <w:proofErr w:type="spellStart"/>
      <w:r w:rsidRPr="00BF3409">
        <w:rPr>
          <w:rFonts w:ascii="Times New Roman" w:hAnsi="Times New Roman" w:cs="Times New Roman"/>
          <w:sz w:val="18"/>
          <w:szCs w:val="18"/>
        </w:rPr>
        <w:t>Kainan</w:t>
      </w:r>
      <w:proofErr w:type="spellEnd"/>
      <w:r w:rsidRPr="00BF3409">
        <w:rPr>
          <w:rFonts w:ascii="Times New Roman" w:hAnsi="Times New Roman" w:cs="Times New Roman"/>
          <w:sz w:val="18"/>
          <w:szCs w:val="18"/>
        </w:rPr>
        <w:t xml:space="preserve"> Huang, ‘Legal Institutionalism: Capitalism and the Constitutive Role of Law’ (2017) </w:t>
      </w:r>
      <w:r w:rsidRPr="00BF3409">
        <w:rPr>
          <w:rFonts w:ascii="Times New Roman" w:hAnsi="Times New Roman" w:cs="Times New Roman"/>
          <w:i/>
          <w:iCs/>
          <w:sz w:val="18"/>
          <w:szCs w:val="18"/>
        </w:rPr>
        <w:t>Journal of Comparative Economics</w:t>
      </w:r>
      <w:r w:rsidRPr="00BF3409">
        <w:rPr>
          <w:rFonts w:ascii="Times New Roman" w:hAnsi="Times New Roman" w:cs="Times New Roman"/>
          <w:sz w:val="18"/>
          <w:szCs w:val="18"/>
        </w:rPr>
        <w:t xml:space="preserve"> 45(1) 188</w:t>
      </w:r>
      <w:r w:rsidR="003A5C01" w:rsidRPr="00BF3409">
        <w:rPr>
          <w:rFonts w:ascii="Times New Roman" w:hAnsi="Times New Roman" w:cs="Times New Roman"/>
          <w:sz w:val="18"/>
          <w:szCs w:val="18"/>
        </w:rPr>
        <w:t xml:space="preserve">; </w:t>
      </w:r>
      <w:r w:rsidRPr="00BF3409">
        <w:rPr>
          <w:rFonts w:ascii="Times New Roman" w:hAnsi="Times New Roman" w:cs="Times New Roman"/>
          <w:sz w:val="18"/>
          <w:szCs w:val="18"/>
        </w:rPr>
        <w:t>Katharina </w:t>
      </w:r>
      <w:proofErr w:type="spellStart"/>
      <w:r w:rsidRPr="00BF3409">
        <w:rPr>
          <w:rFonts w:ascii="Times New Roman" w:hAnsi="Times New Roman" w:cs="Times New Roman"/>
          <w:sz w:val="18"/>
          <w:szCs w:val="18"/>
        </w:rPr>
        <w:t>Pistor</w:t>
      </w:r>
      <w:proofErr w:type="spellEnd"/>
      <w:r w:rsidRPr="00BF3409">
        <w:rPr>
          <w:rFonts w:ascii="Times New Roman" w:hAnsi="Times New Roman" w:cs="Times New Roman"/>
          <w:sz w:val="18"/>
          <w:szCs w:val="18"/>
        </w:rPr>
        <w:t xml:space="preserve">, </w:t>
      </w:r>
      <w:r w:rsidR="003A5C01" w:rsidRPr="00BF3409">
        <w:rPr>
          <w:rFonts w:ascii="Times New Roman" w:hAnsi="Times New Roman" w:cs="Times New Roman"/>
          <w:sz w:val="18"/>
          <w:szCs w:val="18"/>
        </w:rPr>
        <w:t>‘</w:t>
      </w:r>
      <w:r w:rsidRPr="00BF3409">
        <w:rPr>
          <w:rFonts w:ascii="Times New Roman" w:hAnsi="Times New Roman" w:cs="Times New Roman"/>
          <w:sz w:val="18"/>
          <w:szCs w:val="18"/>
        </w:rPr>
        <w:t>Law in Finance</w:t>
      </w:r>
      <w:r w:rsidR="003A5C01" w:rsidRPr="00BF3409">
        <w:rPr>
          <w:rFonts w:ascii="Times New Roman" w:hAnsi="Times New Roman" w:cs="Times New Roman"/>
          <w:sz w:val="18"/>
          <w:szCs w:val="18"/>
        </w:rPr>
        <w:t>’</w:t>
      </w:r>
      <w:r w:rsidRPr="00BF3409">
        <w:rPr>
          <w:rFonts w:ascii="Times New Roman" w:hAnsi="Times New Roman" w:cs="Times New Roman"/>
          <w:sz w:val="18"/>
          <w:szCs w:val="18"/>
        </w:rPr>
        <w:t xml:space="preserve"> (2013) 41 </w:t>
      </w:r>
      <w:r w:rsidRPr="00BF3409">
        <w:rPr>
          <w:rFonts w:ascii="Times New Roman" w:hAnsi="Times New Roman" w:cs="Times New Roman"/>
          <w:i/>
          <w:iCs/>
          <w:sz w:val="18"/>
          <w:szCs w:val="18"/>
        </w:rPr>
        <w:t>Journal of Comparative Economics</w:t>
      </w:r>
      <w:r w:rsidRPr="00BF3409">
        <w:rPr>
          <w:rFonts w:ascii="Times New Roman" w:hAnsi="Times New Roman" w:cs="Times New Roman"/>
          <w:sz w:val="18"/>
          <w:szCs w:val="18"/>
        </w:rPr>
        <w:t xml:space="preserve"> 311</w:t>
      </w:r>
      <w:r w:rsidR="003A5C01" w:rsidRPr="00BF3409">
        <w:rPr>
          <w:rFonts w:ascii="Times New Roman" w:hAnsi="Times New Roman" w:cs="Times New Roman"/>
          <w:sz w:val="18"/>
          <w:szCs w:val="18"/>
        </w:rPr>
        <w:t xml:space="preserve">; </w:t>
      </w:r>
      <w:r w:rsidRPr="00BF3409">
        <w:rPr>
          <w:rFonts w:ascii="Times New Roman" w:hAnsi="Times New Roman" w:cs="Times New Roman"/>
          <w:sz w:val="18"/>
          <w:szCs w:val="18"/>
        </w:rPr>
        <w:t xml:space="preserve">Geoffrey M Hodgson, </w:t>
      </w:r>
      <w:r w:rsidRPr="00BF3409">
        <w:rPr>
          <w:rFonts w:ascii="Times New Roman" w:hAnsi="Times New Roman" w:cs="Times New Roman"/>
          <w:i/>
          <w:iCs/>
          <w:sz w:val="18"/>
          <w:szCs w:val="18"/>
        </w:rPr>
        <w:t>Conceptualizing Capitalism: Institutions, Evolution, Future</w:t>
      </w:r>
      <w:r w:rsidRPr="00BF3409">
        <w:rPr>
          <w:rFonts w:ascii="Times New Roman" w:hAnsi="Times New Roman" w:cs="Times New Roman"/>
          <w:sz w:val="18"/>
          <w:szCs w:val="18"/>
        </w:rPr>
        <w:t xml:space="preserve"> (</w:t>
      </w:r>
      <w:r w:rsidR="003A5C01" w:rsidRPr="00BF3409">
        <w:rPr>
          <w:rFonts w:ascii="Times New Roman" w:hAnsi="Times New Roman" w:cs="Times New Roman"/>
          <w:sz w:val="18"/>
          <w:szCs w:val="18"/>
        </w:rPr>
        <w:t xml:space="preserve">Chicago: </w:t>
      </w:r>
      <w:r w:rsidRPr="00BF3409">
        <w:rPr>
          <w:rFonts w:ascii="Times New Roman" w:hAnsi="Times New Roman" w:cs="Times New Roman"/>
          <w:sz w:val="18"/>
          <w:szCs w:val="18"/>
        </w:rPr>
        <w:t>University of Chicago Press, 2015).</w:t>
      </w:r>
    </w:p>
  </w:footnote>
  <w:footnote w:id="38">
    <w:p w14:paraId="0BA5A1BA" w14:textId="3059BC3F"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r w:rsidR="00B12DBC" w:rsidRPr="00BF3409">
        <w:rPr>
          <w:rFonts w:ascii="Times New Roman" w:hAnsi="Times New Roman" w:cs="Times New Roman"/>
          <w:color w:val="000000" w:themeColor="text1"/>
          <w:sz w:val="18"/>
          <w:szCs w:val="18"/>
        </w:rPr>
        <w:t xml:space="preserve">Quinn </w:t>
      </w:r>
      <w:proofErr w:type="spellStart"/>
      <w:r w:rsidR="00B12DBC" w:rsidRPr="00BF3409">
        <w:rPr>
          <w:rFonts w:ascii="Times New Roman" w:hAnsi="Times New Roman" w:cs="Times New Roman"/>
          <w:color w:val="000000" w:themeColor="text1"/>
          <w:sz w:val="18"/>
          <w:szCs w:val="18"/>
        </w:rPr>
        <w:t>Slobodian</w:t>
      </w:r>
      <w:proofErr w:type="spellEnd"/>
      <w:r w:rsidR="00B12DBC" w:rsidRPr="00BF3409">
        <w:rPr>
          <w:rFonts w:ascii="Times New Roman" w:hAnsi="Times New Roman" w:cs="Times New Roman"/>
          <w:color w:val="000000" w:themeColor="text1"/>
          <w:sz w:val="18"/>
          <w:szCs w:val="18"/>
        </w:rPr>
        <w:t xml:space="preserve"> </w:t>
      </w:r>
      <w:r w:rsidR="00B12DBC" w:rsidRPr="00BF3409">
        <w:rPr>
          <w:rFonts w:ascii="Times New Roman" w:hAnsi="Times New Roman" w:cs="Times New Roman"/>
          <w:i/>
          <w:iCs/>
          <w:color w:val="000000" w:themeColor="text1"/>
          <w:sz w:val="18"/>
          <w:szCs w:val="18"/>
        </w:rPr>
        <w:t>Globalists: The end of empire and the birth of neoliberalism</w:t>
      </w:r>
      <w:r w:rsidR="00B12DBC" w:rsidRPr="00BF3409">
        <w:rPr>
          <w:rFonts w:ascii="Times New Roman" w:hAnsi="Times New Roman" w:cs="Times New Roman"/>
          <w:color w:val="000000" w:themeColor="text1"/>
          <w:sz w:val="18"/>
          <w:szCs w:val="18"/>
        </w:rPr>
        <w:t xml:space="preserve"> (Harvard: Harvard University Press, 2019)</w:t>
      </w:r>
      <w:r w:rsidR="00F91037" w:rsidRPr="00BF3409">
        <w:rPr>
          <w:rFonts w:ascii="Times New Roman" w:hAnsi="Times New Roman" w:cs="Times New Roman"/>
          <w:color w:val="000000" w:themeColor="text1"/>
          <w:sz w:val="18"/>
          <w:szCs w:val="18"/>
        </w:rPr>
        <w:t>.</w:t>
      </w:r>
    </w:p>
  </w:footnote>
  <w:footnote w:id="39">
    <w:p w14:paraId="35004A57" w14:textId="051D4187" w:rsidR="00B63340" w:rsidRPr="00BF3409" w:rsidRDefault="00B63340">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r w:rsidRPr="00BF3409">
        <w:rPr>
          <w:rFonts w:ascii="Times New Roman" w:hAnsi="Times New Roman" w:cs="Times New Roman"/>
          <w:color w:val="000000" w:themeColor="text1"/>
          <w:sz w:val="18"/>
          <w:szCs w:val="18"/>
        </w:rPr>
        <w:t xml:space="preserve">Andrew T F Lang, ‘The Legal Construction of Economic Rationalities?’ (2013) 40 </w:t>
      </w:r>
      <w:r w:rsidRPr="00BF3409">
        <w:rPr>
          <w:rFonts w:ascii="Times New Roman" w:hAnsi="Times New Roman" w:cs="Times New Roman"/>
          <w:i/>
          <w:iCs/>
          <w:color w:val="000000" w:themeColor="text1"/>
          <w:sz w:val="18"/>
          <w:szCs w:val="18"/>
        </w:rPr>
        <w:t>Journal of Law and Society</w:t>
      </w:r>
      <w:r w:rsidRPr="00BF3409">
        <w:rPr>
          <w:rFonts w:ascii="Times New Roman" w:hAnsi="Times New Roman" w:cs="Times New Roman"/>
          <w:color w:val="000000" w:themeColor="text1"/>
          <w:sz w:val="18"/>
          <w:szCs w:val="18"/>
        </w:rPr>
        <w:t xml:space="preserve"> 155.</w:t>
      </w:r>
    </w:p>
  </w:footnote>
  <w:footnote w:id="40">
    <w:p w14:paraId="5F3BEEB7" w14:textId="3F55589A"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The differentiation builds on Edelman and </w:t>
      </w:r>
      <w:proofErr w:type="spellStart"/>
      <w:r w:rsidRPr="00BF3409">
        <w:rPr>
          <w:rFonts w:ascii="Times New Roman" w:hAnsi="Times New Roman" w:cs="Times New Roman"/>
          <w:color w:val="000000" w:themeColor="text1"/>
          <w:sz w:val="18"/>
          <w:szCs w:val="18"/>
        </w:rPr>
        <w:t>Suchman’s</w:t>
      </w:r>
      <w:proofErr w:type="spellEnd"/>
      <w:r w:rsidRPr="00BF3409">
        <w:rPr>
          <w:rFonts w:ascii="Times New Roman" w:hAnsi="Times New Roman" w:cs="Times New Roman"/>
          <w:color w:val="000000" w:themeColor="text1"/>
          <w:sz w:val="18"/>
          <w:szCs w:val="18"/>
        </w:rPr>
        <w:t xml:space="preserve"> exploration of legal environments shaping organisations</w:t>
      </w:r>
      <w:r w:rsidR="003A5C01" w:rsidRPr="00BF3409">
        <w:rPr>
          <w:rFonts w:ascii="Times New Roman" w:hAnsi="Times New Roman" w:cs="Times New Roman"/>
          <w:color w:val="000000" w:themeColor="text1"/>
          <w:sz w:val="18"/>
          <w:szCs w:val="18"/>
        </w:rPr>
        <w:t xml:space="preserve"> – Edelman</w:t>
      </w:r>
      <w:r w:rsidR="00F91037" w:rsidRPr="00BF3409">
        <w:rPr>
          <w:rFonts w:ascii="Times New Roman" w:hAnsi="Times New Roman" w:cs="Times New Roman"/>
          <w:color w:val="000000" w:themeColor="text1"/>
          <w:sz w:val="18"/>
          <w:szCs w:val="18"/>
        </w:rPr>
        <w:t xml:space="preserve"> and</w:t>
      </w:r>
      <w:r w:rsidR="003A5C01" w:rsidRPr="00BF3409">
        <w:rPr>
          <w:rFonts w:ascii="Times New Roman" w:hAnsi="Times New Roman" w:cs="Times New Roman"/>
          <w:color w:val="000000" w:themeColor="text1"/>
          <w:sz w:val="18"/>
          <w:szCs w:val="18"/>
        </w:rPr>
        <w:t xml:space="preserve"> </w:t>
      </w:r>
      <w:proofErr w:type="spellStart"/>
      <w:r w:rsidR="003A5C01" w:rsidRPr="00BF3409">
        <w:rPr>
          <w:rFonts w:ascii="Times New Roman" w:hAnsi="Times New Roman" w:cs="Times New Roman"/>
          <w:color w:val="000000" w:themeColor="text1"/>
          <w:sz w:val="18"/>
          <w:szCs w:val="18"/>
        </w:rPr>
        <w:t>Suchman</w:t>
      </w:r>
      <w:proofErr w:type="spellEnd"/>
      <w:r w:rsidRPr="00BF3409">
        <w:rPr>
          <w:rFonts w:ascii="Times New Roman" w:hAnsi="Times New Roman" w:cs="Times New Roman"/>
          <w:color w:val="000000" w:themeColor="text1"/>
          <w:sz w:val="18"/>
          <w:szCs w:val="18"/>
        </w:rPr>
        <w:t>, n. 1</w:t>
      </w:r>
      <w:r w:rsidR="00107E8D">
        <w:rPr>
          <w:rFonts w:ascii="Times New Roman" w:hAnsi="Times New Roman" w:cs="Times New Roman"/>
          <w:color w:val="000000" w:themeColor="text1"/>
          <w:sz w:val="18"/>
          <w:szCs w:val="18"/>
        </w:rPr>
        <w:t>5</w:t>
      </w:r>
      <w:r w:rsidRPr="00BF3409">
        <w:rPr>
          <w:rFonts w:ascii="Times New Roman" w:hAnsi="Times New Roman" w:cs="Times New Roman"/>
          <w:color w:val="000000" w:themeColor="text1"/>
          <w:sz w:val="18"/>
          <w:szCs w:val="18"/>
        </w:rPr>
        <w:t xml:space="preserve">. </w:t>
      </w:r>
    </w:p>
  </w:footnote>
  <w:footnote w:id="41">
    <w:p w14:paraId="2CBCB712" w14:textId="3051C257"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r w:rsidR="00F91037" w:rsidRPr="00BF3409">
        <w:rPr>
          <w:rFonts w:ascii="Times New Roman" w:hAnsi="Times New Roman" w:cs="Times New Roman"/>
          <w:sz w:val="18"/>
          <w:szCs w:val="18"/>
        </w:rPr>
        <w:t xml:space="preserve">Edelman and </w:t>
      </w:r>
      <w:proofErr w:type="spellStart"/>
      <w:r w:rsidR="00F91037" w:rsidRPr="00BF3409">
        <w:rPr>
          <w:rFonts w:ascii="Times New Roman" w:hAnsi="Times New Roman" w:cs="Times New Roman"/>
          <w:sz w:val="18"/>
          <w:szCs w:val="18"/>
        </w:rPr>
        <w:t>Suchman</w:t>
      </w:r>
      <w:proofErr w:type="spellEnd"/>
      <w:r w:rsidRPr="00BF3409">
        <w:rPr>
          <w:rFonts w:ascii="Times New Roman" w:hAnsi="Times New Roman" w:cs="Times New Roman"/>
          <w:sz w:val="18"/>
          <w:szCs w:val="18"/>
        </w:rPr>
        <w:t>, n. 1</w:t>
      </w:r>
      <w:r w:rsidR="00107E8D">
        <w:rPr>
          <w:rFonts w:ascii="Times New Roman" w:hAnsi="Times New Roman" w:cs="Times New Roman"/>
          <w:sz w:val="18"/>
          <w:szCs w:val="18"/>
        </w:rPr>
        <w:t>5</w:t>
      </w:r>
      <w:r w:rsidRPr="00BF3409">
        <w:rPr>
          <w:rFonts w:ascii="Times New Roman" w:hAnsi="Times New Roman" w:cs="Times New Roman"/>
          <w:sz w:val="18"/>
          <w:szCs w:val="18"/>
        </w:rPr>
        <w:t>, p. 507.</w:t>
      </w:r>
    </w:p>
  </w:footnote>
  <w:footnote w:id="42">
    <w:p w14:paraId="2ACE91D9" w14:textId="53A2034B"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t>
      </w:r>
      <w:proofErr w:type="spellStart"/>
      <w:r w:rsidRPr="00BF3409">
        <w:rPr>
          <w:rFonts w:ascii="Times New Roman" w:hAnsi="Times New Roman" w:cs="Times New Roman"/>
          <w:color w:val="000000" w:themeColor="text1"/>
          <w:sz w:val="18"/>
          <w:szCs w:val="18"/>
        </w:rPr>
        <w:t>Pistor</w:t>
      </w:r>
      <w:proofErr w:type="spellEnd"/>
      <w:r w:rsidRPr="00BF3409">
        <w:rPr>
          <w:rFonts w:ascii="Times New Roman" w:hAnsi="Times New Roman" w:cs="Times New Roman"/>
          <w:color w:val="000000" w:themeColor="text1"/>
          <w:sz w:val="18"/>
          <w:szCs w:val="18"/>
        </w:rPr>
        <w:t>, n. 34, p. 325.</w:t>
      </w:r>
    </w:p>
  </w:footnote>
  <w:footnote w:id="43">
    <w:p w14:paraId="336F2E94" w14:textId="09653A74"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Jean </w:t>
      </w:r>
      <w:proofErr w:type="spellStart"/>
      <w:r w:rsidRPr="00BF3409">
        <w:rPr>
          <w:rFonts w:ascii="Times New Roman" w:hAnsi="Times New Roman" w:cs="Times New Roman"/>
          <w:color w:val="000000" w:themeColor="text1"/>
          <w:sz w:val="18"/>
          <w:szCs w:val="18"/>
        </w:rPr>
        <w:t>Pélisse</w:t>
      </w:r>
      <w:proofErr w:type="spellEnd"/>
      <w:r w:rsidRPr="00BF3409">
        <w:rPr>
          <w:rFonts w:ascii="Times New Roman" w:hAnsi="Times New Roman" w:cs="Times New Roman"/>
          <w:color w:val="000000" w:themeColor="text1"/>
          <w:sz w:val="18"/>
          <w:szCs w:val="18"/>
        </w:rPr>
        <w:t xml:space="preserve">, ‘Varieties of Legal Intermediaries: When Non-Legal Professionals Act as Legal Intermediaries’ in Austin </w:t>
      </w:r>
      <w:proofErr w:type="spellStart"/>
      <w:r w:rsidRPr="00BF3409">
        <w:rPr>
          <w:rFonts w:ascii="Times New Roman" w:hAnsi="Times New Roman" w:cs="Times New Roman"/>
          <w:color w:val="000000" w:themeColor="text1"/>
          <w:sz w:val="18"/>
          <w:szCs w:val="18"/>
        </w:rPr>
        <w:t>Sarat</w:t>
      </w:r>
      <w:proofErr w:type="spellEnd"/>
      <w:r w:rsidRPr="00BF3409">
        <w:rPr>
          <w:rFonts w:ascii="Times New Roman" w:hAnsi="Times New Roman" w:cs="Times New Roman"/>
          <w:color w:val="000000" w:themeColor="text1"/>
          <w:sz w:val="18"/>
          <w:szCs w:val="18"/>
        </w:rPr>
        <w:t xml:space="preserve"> (ed), </w:t>
      </w:r>
      <w:r w:rsidRPr="00BF3409">
        <w:rPr>
          <w:rFonts w:ascii="Times New Roman" w:hAnsi="Times New Roman" w:cs="Times New Roman"/>
          <w:i/>
          <w:iCs/>
          <w:color w:val="000000" w:themeColor="text1"/>
          <w:sz w:val="18"/>
          <w:szCs w:val="18"/>
        </w:rPr>
        <w:t>Legal Intermediation</w:t>
      </w:r>
      <w:r w:rsidRPr="00BF3409">
        <w:rPr>
          <w:rFonts w:ascii="Times New Roman" w:hAnsi="Times New Roman" w:cs="Times New Roman"/>
          <w:color w:val="000000" w:themeColor="text1"/>
          <w:sz w:val="18"/>
          <w:szCs w:val="18"/>
        </w:rPr>
        <w:t xml:space="preserve"> (Studies in Law, Politics, and Society, vol 81, </w:t>
      </w:r>
      <w:r w:rsidR="003A5C01" w:rsidRPr="00BF3409">
        <w:rPr>
          <w:rFonts w:ascii="Times New Roman" w:hAnsi="Times New Roman" w:cs="Times New Roman"/>
          <w:color w:val="000000" w:themeColor="text1"/>
          <w:sz w:val="18"/>
          <w:szCs w:val="18"/>
        </w:rPr>
        <w:t xml:space="preserve">Leeds: </w:t>
      </w:r>
      <w:r w:rsidRPr="00BF3409">
        <w:rPr>
          <w:rFonts w:ascii="Times New Roman" w:hAnsi="Times New Roman" w:cs="Times New Roman"/>
          <w:color w:val="000000" w:themeColor="text1"/>
          <w:sz w:val="18"/>
          <w:szCs w:val="18"/>
        </w:rPr>
        <w:t>Emerald Publishing, 2019) 101.</w:t>
      </w:r>
    </w:p>
  </w:footnote>
  <w:footnote w:id="44">
    <w:p w14:paraId="42D65AFA" w14:textId="03600614"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t>
      </w:r>
      <w:proofErr w:type="spellStart"/>
      <w:r w:rsidRPr="00BF3409">
        <w:rPr>
          <w:rFonts w:ascii="Times New Roman" w:hAnsi="Times New Roman" w:cs="Times New Roman"/>
          <w:color w:val="000000" w:themeColor="text1"/>
          <w:sz w:val="18"/>
          <w:szCs w:val="18"/>
        </w:rPr>
        <w:t>Poul</w:t>
      </w:r>
      <w:proofErr w:type="spellEnd"/>
      <w:r w:rsidRPr="00BF3409">
        <w:rPr>
          <w:rFonts w:ascii="Times New Roman" w:hAnsi="Times New Roman" w:cs="Times New Roman"/>
          <w:color w:val="000000" w:themeColor="text1"/>
          <w:sz w:val="18"/>
          <w:szCs w:val="18"/>
        </w:rPr>
        <w:t xml:space="preserve"> F </w:t>
      </w:r>
      <w:proofErr w:type="spellStart"/>
      <w:r w:rsidRPr="00BF3409">
        <w:rPr>
          <w:rFonts w:ascii="Times New Roman" w:hAnsi="Times New Roman" w:cs="Times New Roman"/>
          <w:color w:val="000000" w:themeColor="text1"/>
          <w:sz w:val="18"/>
          <w:szCs w:val="18"/>
        </w:rPr>
        <w:t>Kjaer</w:t>
      </w:r>
      <w:proofErr w:type="spellEnd"/>
      <w:r w:rsidRPr="00BF3409">
        <w:rPr>
          <w:rFonts w:ascii="Times New Roman" w:hAnsi="Times New Roman" w:cs="Times New Roman"/>
          <w:color w:val="000000" w:themeColor="text1"/>
          <w:sz w:val="18"/>
          <w:szCs w:val="18"/>
        </w:rPr>
        <w:t xml:space="preserve">, 'What Is Transformative Law?' (2022) 1(4) </w:t>
      </w:r>
      <w:r w:rsidRPr="00BF3409">
        <w:rPr>
          <w:rFonts w:ascii="Times New Roman" w:hAnsi="Times New Roman" w:cs="Times New Roman"/>
          <w:i/>
          <w:iCs/>
          <w:color w:val="000000" w:themeColor="text1"/>
          <w:sz w:val="18"/>
          <w:szCs w:val="18"/>
        </w:rPr>
        <w:t>European Law Open</w:t>
      </w:r>
      <w:r w:rsidRPr="00BF3409">
        <w:rPr>
          <w:rFonts w:ascii="Times New Roman" w:hAnsi="Times New Roman" w:cs="Times New Roman"/>
          <w:color w:val="000000" w:themeColor="text1"/>
          <w:sz w:val="18"/>
          <w:szCs w:val="18"/>
        </w:rPr>
        <w:t xml:space="preserve"> 760.</w:t>
      </w:r>
    </w:p>
  </w:footnote>
  <w:footnote w:id="45">
    <w:p w14:paraId="5259FE1B" w14:textId="5355178C"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Daniela Gabor and Benjamin Braun, ‘Green </w:t>
      </w:r>
      <w:proofErr w:type="spellStart"/>
      <w:r w:rsidRPr="00BF3409">
        <w:rPr>
          <w:rFonts w:ascii="Times New Roman" w:hAnsi="Times New Roman" w:cs="Times New Roman"/>
          <w:color w:val="000000" w:themeColor="text1"/>
          <w:sz w:val="18"/>
          <w:szCs w:val="18"/>
        </w:rPr>
        <w:t>Macrofinancial</w:t>
      </w:r>
      <w:proofErr w:type="spellEnd"/>
      <w:r w:rsidRPr="00BF3409">
        <w:rPr>
          <w:rFonts w:ascii="Times New Roman" w:hAnsi="Times New Roman" w:cs="Times New Roman"/>
          <w:color w:val="000000" w:themeColor="text1"/>
          <w:sz w:val="18"/>
          <w:szCs w:val="18"/>
        </w:rPr>
        <w:t xml:space="preserve"> Regimes’ (2025) </w:t>
      </w:r>
      <w:r w:rsidRPr="00BF3409">
        <w:rPr>
          <w:rFonts w:ascii="Times New Roman" w:hAnsi="Times New Roman" w:cs="Times New Roman"/>
          <w:i/>
          <w:iCs/>
          <w:color w:val="000000" w:themeColor="text1"/>
          <w:sz w:val="18"/>
          <w:szCs w:val="18"/>
        </w:rPr>
        <w:t xml:space="preserve">Review of International Political Economy </w:t>
      </w:r>
      <w:r w:rsidRPr="00BF3409">
        <w:rPr>
          <w:rFonts w:ascii="Times New Roman" w:hAnsi="Times New Roman" w:cs="Times New Roman"/>
          <w:color w:val="000000" w:themeColor="text1"/>
          <w:sz w:val="18"/>
          <w:szCs w:val="18"/>
        </w:rPr>
        <w:t>32(3) 542.</w:t>
      </w:r>
    </w:p>
  </w:footnote>
  <w:footnote w:id="46">
    <w:p w14:paraId="0AA6D9F1" w14:textId="22715689"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Deakin et al</w:t>
      </w:r>
      <w:r w:rsidR="003A5C0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n. 3</w:t>
      </w:r>
      <w:r w:rsidR="00371F66" w:rsidRPr="00BF3409">
        <w:rPr>
          <w:rFonts w:ascii="Times New Roman" w:hAnsi="Times New Roman" w:cs="Times New Roman"/>
          <w:color w:val="000000" w:themeColor="text1"/>
          <w:sz w:val="18"/>
          <w:szCs w:val="18"/>
        </w:rPr>
        <w:t>6</w:t>
      </w:r>
      <w:r w:rsidRPr="00BF3409">
        <w:rPr>
          <w:rFonts w:ascii="Times New Roman" w:hAnsi="Times New Roman" w:cs="Times New Roman"/>
          <w:color w:val="000000" w:themeColor="text1"/>
          <w:sz w:val="18"/>
          <w:szCs w:val="18"/>
        </w:rPr>
        <w:t xml:space="preserve">. </w:t>
      </w:r>
    </w:p>
  </w:footnote>
  <w:footnote w:id="47">
    <w:p w14:paraId="3E03B5D6" w14:textId="4BABDCF7"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t>
      </w:r>
      <w:r w:rsidR="003A5C01" w:rsidRPr="00BF3409">
        <w:rPr>
          <w:rFonts w:ascii="Times New Roman" w:hAnsi="Times New Roman" w:cs="Times New Roman"/>
          <w:color w:val="000000" w:themeColor="text1"/>
          <w:sz w:val="18"/>
          <w:szCs w:val="18"/>
        </w:rPr>
        <w:t xml:space="preserve">For more on </w:t>
      </w:r>
      <w:r w:rsidRPr="00BF3409">
        <w:rPr>
          <w:rFonts w:ascii="Times New Roman" w:hAnsi="Times New Roman" w:cs="Times New Roman"/>
          <w:color w:val="000000" w:themeColor="text1"/>
          <w:sz w:val="18"/>
          <w:szCs w:val="18"/>
        </w:rPr>
        <w:t>the distinction between law, legislation and regulation</w:t>
      </w:r>
      <w:r w:rsidR="003A5C0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see Nir </w:t>
      </w:r>
      <w:proofErr w:type="spellStart"/>
      <w:r w:rsidRPr="00BF3409">
        <w:rPr>
          <w:rFonts w:ascii="Times New Roman" w:hAnsi="Times New Roman" w:cs="Times New Roman"/>
          <w:color w:val="000000" w:themeColor="text1"/>
          <w:sz w:val="18"/>
          <w:szCs w:val="18"/>
        </w:rPr>
        <w:t>Kosti</w:t>
      </w:r>
      <w:proofErr w:type="spellEnd"/>
      <w:r w:rsidRPr="00BF3409">
        <w:rPr>
          <w:rFonts w:ascii="Times New Roman" w:hAnsi="Times New Roman" w:cs="Times New Roman"/>
          <w:color w:val="000000" w:themeColor="text1"/>
          <w:sz w:val="18"/>
          <w:szCs w:val="18"/>
        </w:rPr>
        <w:t>, David Levi-</w:t>
      </w:r>
      <w:proofErr w:type="spellStart"/>
      <w:r w:rsidRPr="00BF3409">
        <w:rPr>
          <w:rFonts w:ascii="Times New Roman" w:hAnsi="Times New Roman" w:cs="Times New Roman"/>
          <w:color w:val="000000" w:themeColor="text1"/>
          <w:sz w:val="18"/>
          <w:szCs w:val="18"/>
        </w:rPr>
        <w:t>Faur</w:t>
      </w:r>
      <w:proofErr w:type="spellEnd"/>
      <w:r w:rsidRPr="00BF3409">
        <w:rPr>
          <w:rFonts w:ascii="Times New Roman" w:hAnsi="Times New Roman" w:cs="Times New Roman"/>
          <w:color w:val="000000" w:themeColor="text1"/>
          <w:sz w:val="18"/>
          <w:szCs w:val="18"/>
        </w:rPr>
        <w:t xml:space="preserve"> and Guy </w:t>
      </w:r>
      <w:proofErr w:type="spellStart"/>
      <w:r w:rsidRPr="00BF3409">
        <w:rPr>
          <w:rFonts w:ascii="Times New Roman" w:hAnsi="Times New Roman" w:cs="Times New Roman"/>
          <w:color w:val="000000" w:themeColor="text1"/>
          <w:sz w:val="18"/>
          <w:szCs w:val="18"/>
        </w:rPr>
        <w:t>Mor</w:t>
      </w:r>
      <w:proofErr w:type="spellEnd"/>
      <w:r w:rsidRPr="00BF3409">
        <w:rPr>
          <w:rFonts w:ascii="Times New Roman" w:hAnsi="Times New Roman" w:cs="Times New Roman"/>
          <w:color w:val="000000" w:themeColor="text1"/>
          <w:sz w:val="18"/>
          <w:szCs w:val="18"/>
        </w:rPr>
        <w:t xml:space="preserve">, </w:t>
      </w:r>
      <w:r w:rsidR="003A5C01" w:rsidRPr="00BF3409">
        <w:rPr>
          <w:rFonts w:ascii="Times New Roman" w:hAnsi="Times New Roman" w:cs="Times New Roman"/>
          <w:color w:val="000000" w:themeColor="text1"/>
          <w:sz w:val="18"/>
          <w:szCs w:val="18"/>
        </w:rPr>
        <w:t xml:space="preserve">‘Legislation </w:t>
      </w:r>
      <w:r w:rsidRPr="00BF3409">
        <w:rPr>
          <w:rFonts w:ascii="Times New Roman" w:hAnsi="Times New Roman" w:cs="Times New Roman"/>
          <w:color w:val="000000" w:themeColor="text1"/>
          <w:sz w:val="18"/>
          <w:szCs w:val="18"/>
        </w:rPr>
        <w:t xml:space="preserve">and </w:t>
      </w:r>
      <w:r w:rsidR="003A5C01" w:rsidRPr="00BF3409">
        <w:rPr>
          <w:rFonts w:ascii="Times New Roman" w:hAnsi="Times New Roman" w:cs="Times New Roman"/>
          <w:color w:val="000000" w:themeColor="text1"/>
          <w:sz w:val="18"/>
          <w:szCs w:val="18"/>
        </w:rPr>
        <w:t>Regulation</w:t>
      </w:r>
      <w:r w:rsidRPr="00BF3409">
        <w:rPr>
          <w:rFonts w:ascii="Times New Roman" w:hAnsi="Times New Roman" w:cs="Times New Roman"/>
          <w:color w:val="000000" w:themeColor="text1"/>
          <w:sz w:val="18"/>
          <w:szCs w:val="18"/>
        </w:rPr>
        <w:t xml:space="preserve">: </w:t>
      </w:r>
      <w:r w:rsidR="003A5C01" w:rsidRPr="00BF3409">
        <w:rPr>
          <w:rFonts w:ascii="Times New Roman" w:hAnsi="Times New Roman" w:cs="Times New Roman"/>
          <w:color w:val="000000" w:themeColor="text1"/>
          <w:sz w:val="18"/>
          <w:szCs w:val="18"/>
        </w:rPr>
        <w:t>Three Analytical D</w:t>
      </w:r>
      <w:r w:rsidRPr="00BF3409">
        <w:rPr>
          <w:rFonts w:ascii="Times New Roman" w:hAnsi="Times New Roman" w:cs="Times New Roman"/>
          <w:color w:val="000000" w:themeColor="text1"/>
          <w:sz w:val="18"/>
          <w:szCs w:val="18"/>
        </w:rPr>
        <w:t>istinctions</w:t>
      </w:r>
      <w:r w:rsidR="003A5C0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(2019) 7(3) </w:t>
      </w:r>
      <w:r w:rsidRPr="00BF3409">
        <w:rPr>
          <w:rFonts w:ascii="Times New Roman" w:hAnsi="Times New Roman" w:cs="Times New Roman"/>
          <w:i/>
          <w:iCs/>
          <w:color w:val="000000" w:themeColor="text1"/>
          <w:sz w:val="18"/>
          <w:szCs w:val="18"/>
        </w:rPr>
        <w:t xml:space="preserve">The Theory and Practice of Legislation </w:t>
      </w:r>
      <w:r w:rsidRPr="00BF3409">
        <w:rPr>
          <w:rFonts w:ascii="Times New Roman" w:hAnsi="Times New Roman" w:cs="Times New Roman"/>
          <w:color w:val="000000" w:themeColor="text1"/>
          <w:sz w:val="18"/>
          <w:szCs w:val="18"/>
        </w:rPr>
        <w:t>169</w:t>
      </w:r>
      <w:r w:rsidR="003A5C01"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David Levi-</w:t>
      </w:r>
      <w:proofErr w:type="spellStart"/>
      <w:r w:rsidRPr="00BF3409">
        <w:rPr>
          <w:rFonts w:ascii="Times New Roman" w:hAnsi="Times New Roman" w:cs="Times New Roman"/>
          <w:color w:val="000000" w:themeColor="text1"/>
          <w:sz w:val="18"/>
          <w:szCs w:val="18"/>
        </w:rPr>
        <w:t>Faur</w:t>
      </w:r>
      <w:proofErr w:type="spellEnd"/>
      <w:r w:rsidRPr="00BF3409">
        <w:rPr>
          <w:rFonts w:ascii="Times New Roman" w:hAnsi="Times New Roman" w:cs="Times New Roman"/>
          <w:color w:val="000000" w:themeColor="text1"/>
          <w:sz w:val="18"/>
          <w:szCs w:val="18"/>
        </w:rPr>
        <w:t xml:space="preserve">, </w:t>
      </w:r>
      <w:r w:rsidR="003A5C0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Regulatory </w:t>
      </w:r>
      <w:r w:rsidR="003A5C01" w:rsidRPr="00BF3409">
        <w:rPr>
          <w:rFonts w:ascii="Times New Roman" w:hAnsi="Times New Roman" w:cs="Times New Roman"/>
          <w:color w:val="000000" w:themeColor="text1"/>
          <w:sz w:val="18"/>
          <w:szCs w:val="18"/>
        </w:rPr>
        <w:t xml:space="preserve">Capitalism’ </w:t>
      </w:r>
      <w:r w:rsidRPr="00BF3409">
        <w:rPr>
          <w:rFonts w:ascii="Times New Roman" w:hAnsi="Times New Roman" w:cs="Times New Roman"/>
          <w:color w:val="000000" w:themeColor="text1"/>
          <w:sz w:val="18"/>
          <w:szCs w:val="18"/>
        </w:rPr>
        <w:t xml:space="preserve">in Peter </w:t>
      </w:r>
      <w:proofErr w:type="spellStart"/>
      <w:r w:rsidRPr="00BF3409">
        <w:rPr>
          <w:rFonts w:ascii="Times New Roman" w:hAnsi="Times New Roman" w:cs="Times New Roman"/>
          <w:color w:val="000000" w:themeColor="text1"/>
          <w:sz w:val="18"/>
          <w:szCs w:val="18"/>
        </w:rPr>
        <w:t>Drahos</w:t>
      </w:r>
      <w:proofErr w:type="spellEnd"/>
      <w:r w:rsidRPr="00BF3409">
        <w:rPr>
          <w:rFonts w:ascii="Times New Roman" w:hAnsi="Times New Roman" w:cs="Times New Roman"/>
          <w:color w:val="000000" w:themeColor="text1"/>
          <w:sz w:val="18"/>
          <w:szCs w:val="18"/>
        </w:rPr>
        <w:t xml:space="preserve"> (ed), </w:t>
      </w:r>
      <w:r w:rsidRPr="00BF3409">
        <w:rPr>
          <w:rFonts w:ascii="Times New Roman" w:hAnsi="Times New Roman" w:cs="Times New Roman"/>
          <w:i/>
          <w:iCs/>
          <w:color w:val="000000" w:themeColor="text1"/>
          <w:sz w:val="18"/>
          <w:szCs w:val="18"/>
        </w:rPr>
        <w:t>Regulatory Theory: Foundations and Applications</w:t>
      </w:r>
      <w:r w:rsidRPr="00BF3409">
        <w:rPr>
          <w:rFonts w:ascii="Times New Roman" w:hAnsi="Times New Roman" w:cs="Times New Roman"/>
          <w:color w:val="000000" w:themeColor="text1"/>
          <w:sz w:val="18"/>
          <w:szCs w:val="18"/>
        </w:rPr>
        <w:t xml:space="preserve"> (</w:t>
      </w:r>
      <w:r w:rsidR="003A5C01" w:rsidRPr="00BF3409">
        <w:rPr>
          <w:rFonts w:ascii="Times New Roman" w:hAnsi="Times New Roman" w:cs="Times New Roman"/>
          <w:color w:val="000000" w:themeColor="text1"/>
          <w:sz w:val="18"/>
          <w:szCs w:val="18"/>
        </w:rPr>
        <w:t xml:space="preserve">Canberra: </w:t>
      </w:r>
      <w:r w:rsidRPr="00BF3409">
        <w:rPr>
          <w:rFonts w:ascii="Times New Roman" w:hAnsi="Times New Roman" w:cs="Times New Roman"/>
          <w:color w:val="000000" w:themeColor="text1"/>
          <w:sz w:val="18"/>
          <w:szCs w:val="18"/>
        </w:rPr>
        <w:t>ANU Press, 2017)</w:t>
      </w:r>
      <w:r w:rsidR="003A5C0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and Bowman, n. 3</w:t>
      </w:r>
      <w:r w:rsidR="009F5999" w:rsidRPr="00BF3409">
        <w:rPr>
          <w:rFonts w:ascii="Times New Roman" w:hAnsi="Times New Roman" w:cs="Times New Roman"/>
          <w:color w:val="000000" w:themeColor="text1"/>
          <w:sz w:val="18"/>
          <w:szCs w:val="18"/>
        </w:rPr>
        <w:t>4</w:t>
      </w:r>
      <w:r w:rsidRPr="00BF3409">
        <w:rPr>
          <w:rFonts w:ascii="Times New Roman" w:hAnsi="Times New Roman" w:cs="Times New Roman"/>
          <w:color w:val="000000" w:themeColor="text1"/>
          <w:sz w:val="18"/>
          <w:szCs w:val="18"/>
        </w:rPr>
        <w:t>.</w:t>
      </w:r>
    </w:p>
  </w:footnote>
  <w:footnote w:id="48">
    <w:p w14:paraId="2F63B0EE" w14:textId="5CE71716"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t>
      </w:r>
      <w:r w:rsidR="003A5C01" w:rsidRPr="00BF3409">
        <w:rPr>
          <w:rFonts w:ascii="Times New Roman" w:hAnsi="Times New Roman" w:cs="Times New Roman"/>
          <w:color w:val="000000" w:themeColor="text1"/>
          <w:sz w:val="18"/>
          <w:szCs w:val="18"/>
        </w:rPr>
        <w:t xml:space="preserve">For more on </w:t>
      </w:r>
      <w:r w:rsidRPr="00BF3409">
        <w:rPr>
          <w:rFonts w:ascii="Times New Roman" w:hAnsi="Times New Roman" w:cs="Times New Roman"/>
          <w:color w:val="000000" w:themeColor="text1"/>
          <w:sz w:val="18"/>
          <w:szCs w:val="18"/>
        </w:rPr>
        <w:t>law and development</w:t>
      </w:r>
      <w:r w:rsidR="003A5C0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see Douglas </w:t>
      </w:r>
      <w:proofErr w:type="spellStart"/>
      <w:r w:rsidRPr="00BF3409">
        <w:rPr>
          <w:rFonts w:ascii="Times New Roman" w:hAnsi="Times New Roman" w:cs="Times New Roman"/>
          <w:color w:val="000000" w:themeColor="text1"/>
          <w:sz w:val="18"/>
          <w:szCs w:val="18"/>
        </w:rPr>
        <w:t>Arner</w:t>
      </w:r>
      <w:proofErr w:type="spellEnd"/>
      <w:r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i/>
          <w:color w:val="000000" w:themeColor="text1"/>
          <w:sz w:val="18"/>
          <w:szCs w:val="18"/>
        </w:rPr>
        <w:t>Financial Stability,</w:t>
      </w:r>
      <w:r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i/>
          <w:iCs/>
          <w:color w:val="000000" w:themeColor="text1"/>
          <w:sz w:val="18"/>
          <w:szCs w:val="18"/>
        </w:rPr>
        <w:t>Economic Growth, and the Role of Law</w:t>
      </w:r>
      <w:r w:rsidRPr="00BF3409">
        <w:rPr>
          <w:rFonts w:ascii="Times New Roman" w:hAnsi="Times New Roman" w:cs="Times New Roman"/>
          <w:color w:val="000000" w:themeColor="text1"/>
          <w:sz w:val="18"/>
          <w:szCs w:val="18"/>
        </w:rPr>
        <w:t xml:space="preserve"> (</w:t>
      </w:r>
      <w:r w:rsidR="003A5C01" w:rsidRPr="00BF3409">
        <w:rPr>
          <w:rFonts w:ascii="Times New Roman" w:hAnsi="Times New Roman" w:cs="Times New Roman"/>
          <w:color w:val="000000" w:themeColor="text1"/>
          <w:sz w:val="18"/>
          <w:szCs w:val="18"/>
        </w:rPr>
        <w:t xml:space="preserve">Cambridge: </w:t>
      </w:r>
      <w:r w:rsidRPr="00BF3409">
        <w:rPr>
          <w:rFonts w:ascii="Times New Roman" w:hAnsi="Times New Roman" w:cs="Times New Roman"/>
          <w:color w:val="000000" w:themeColor="text1"/>
          <w:sz w:val="18"/>
          <w:szCs w:val="18"/>
        </w:rPr>
        <w:t>Cambridge University Press, 2007)</w:t>
      </w:r>
      <w:r w:rsidR="003A5C01" w:rsidRPr="00BF3409">
        <w:rPr>
          <w:rFonts w:ascii="Times New Roman" w:hAnsi="Times New Roman" w:cs="Times New Roman"/>
          <w:color w:val="000000" w:themeColor="text1"/>
          <w:sz w:val="18"/>
          <w:szCs w:val="18"/>
        </w:rPr>
        <w:t>.</w:t>
      </w:r>
    </w:p>
  </w:footnote>
  <w:footnote w:id="49">
    <w:p w14:paraId="617622CE" w14:textId="5238D9E9"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proofErr w:type="spellStart"/>
      <w:r w:rsidRPr="00BF3409">
        <w:rPr>
          <w:rFonts w:ascii="Times New Roman" w:hAnsi="Times New Roman" w:cs="Times New Roman"/>
          <w:color w:val="000000" w:themeColor="text1"/>
          <w:sz w:val="18"/>
          <w:szCs w:val="18"/>
        </w:rPr>
        <w:t>Kampourakis</w:t>
      </w:r>
      <w:proofErr w:type="spellEnd"/>
      <w:r w:rsidRPr="00BF3409">
        <w:rPr>
          <w:rFonts w:ascii="Times New Roman" w:hAnsi="Times New Roman" w:cs="Times New Roman"/>
          <w:color w:val="000000" w:themeColor="text1"/>
          <w:sz w:val="18"/>
          <w:szCs w:val="18"/>
        </w:rPr>
        <w:t>, n. 3</w:t>
      </w:r>
      <w:r w:rsidR="009F5999" w:rsidRPr="00BF3409">
        <w:rPr>
          <w:rFonts w:ascii="Times New Roman" w:hAnsi="Times New Roman" w:cs="Times New Roman"/>
          <w:color w:val="000000" w:themeColor="text1"/>
          <w:sz w:val="18"/>
          <w:szCs w:val="18"/>
        </w:rPr>
        <w:t>2</w:t>
      </w:r>
      <w:r w:rsidR="003A5C01"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Paul </w:t>
      </w:r>
      <w:proofErr w:type="spellStart"/>
      <w:r w:rsidRPr="00BF3409">
        <w:rPr>
          <w:rFonts w:ascii="Times New Roman" w:hAnsi="Times New Roman" w:cs="Times New Roman"/>
          <w:color w:val="000000" w:themeColor="text1"/>
          <w:sz w:val="18"/>
          <w:szCs w:val="18"/>
        </w:rPr>
        <w:t>Dermine</w:t>
      </w:r>
      <w:proofErr w:type="spellEnd"/>
      <w:r w:rsidRPr="00BF3409">
        <w:rPr>
          <w:rFonts w:ascii="Times New Roman" w:hAnsi="Times New Roman" w:cs="Times New Roman"/>
          <w:color w:val="000000" w:themeColor="text1"/>
          <w:sz w:val="18"/>
          <w:szCs w:val="18"/>
        </w:rPr>
        <w:t xml:space="preserve">, ‘The Planning Method: An Inquiry into the Constitutional Ramifications of a New EU Governance Technique’ (2024) 61 </w:t>
      </w:r>
      <w:r w:rsidRPr="00BF3409">
        <w:rPr>
          <w:rFonts w:ascii="Times New Roman" w:hAnsi="Times New Roman" w:cs="Times New Roman"/>
          <w:i/>
          <w:iCs/>
          <w:color w:val="000000" w:themeColor="text1"/>
          <w:sz w:val="18"/>
          <w:szCs w:val="18"/>
        </w:rPr>
        <w:t>Common Market Law Review</w:t>
      </w:r>
      <w:r w:rsidRPr="00BF3409">
        <w:rPr>
          <w:rFonts w:ascii="Times New Roman" w:hAnsi="Times New Roman" w:cs="Times New Roman"/>
          <w:color w:val="000000" w:themeColor="text1"/>
          <w:sz w:val="18"/>
          <w:szCs w:val="18"/>
        </w:rPr>
        <w:t xml:space="preserve"> 959, 959–992.</w:t>
      </w:r>
    </w:p>
  </w:footnote>
  <w:footnote w:id="50">
    <w:p w14:paraId="5081A632" w14:textId="4A3F685D"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For a full list of the prospectuses and interviews</w:t>
      </w:r>
      <w:r w:rsidR="003A5C01" w:rsidRPr="00BF3409">
        <w:rPr>
          <w:rFonts w:ascii="Times New Roman" w:hAnsi="Times New Roman" w:cs="Times New Roman"/>
          <w:sz w:val="18"/>
          <w:szCs w:val="18"/>
        </w:rPr>
        <w:t>,</w:t>
      </w:r>
      <w:r w:rsidRPr="00BF3409">
        <w:rPr>
          <w:rFonts w:ascii="Times New Roman" w:hAnsi="Times New Roman" w:cs="Times New Roman"/>
          <w:sz w:val="18"/>
          <w:szCs w:val="18"/>
        </w:rPr>
        <w:t xml:space="preserve"> see </w:t>
      </w:r>
      <w:r w:rsidRPr="00BF3409">
        <w:rPr>
          <w:rFonts w:ascii="Times New Roman" w:hAnsi="Times New Roman" w:cs="Times New Roman"/>
          <w:color w:val="000000" w:themeColor="text1"/>
          <w:sz w:val="18"/>
          <w:szCs w:val="18"/>
        </w:rPr>
        <w:t>Supplementary Material</w:t>
      </w:r>
      <w:r w:rsidR="00BE7C16" w:rsidRPr="00BF3409">
        <w:rPr>
          <w:rFonts w:ascii="Times New Roman" w:hAnsi="Times New Roman" w:cs="Times New Roman"/>
          <w:color w:val="000000" w:themeColor="text1"/>
          <w:sz w:val="18"/>
          <w:szCs w:val="18"/>
        </w:rPr>
        <w:t>, n. 14.</w:t>
      </w:r>
      <w:r w:rsidR="00943756" w:rsidRPr="00BF3409">
        <w:rPr>
          <w:rFonts w:ascii="Times New Roman" w:hAnsi="Times New Roman" w:cs="Times New Roman"/>
          <w:color w:val="000000" w:themeColor="text1"/>
          <w:sz w:val="18"/>
          <w:szCs w:val="18"/>
        </w:rPr>
        <w:t xml:space="preserve"> The prospectuses were selected to ensure </w:t>
      </w:r>
      <w:r w:rsidR="00CD2538" w:rsidRPr="00BF3409">
        <w:rPr>
          <w:rFonts w:ascii="Times New Roman" w:hAnsi="Times New Roman" w:cs="Times New Roman"/>
          <w:color w:val="000000" w:themeColor="text1"/>
          <w:sz w:val="18"/>
          <w:szCs w:val="18"/>
        </w:rPr>
        <w:t>equal number of prospectuses from the four jurisdictions and a representativity of sectors of the issuer (energy</w:t>
      </w:r>
      <w:r w:rsidR="006B156D" w:rsidRPr="00BF3409">
        <w:rPr>
          <w:rFonts w:ascii="Times New Roman" w:hAnsi="Times New Roman" w:cs="Times New Roman"/>
          <w:color w:val="000000" w:themeColor="text1"/>
          <w:sz w:val="18"/>
          <w:szCs w:val="18"/>
        </w:rPr>
        <w:t xml:space="preserve"> and utility companies, banks and manufacturing).</w:t>
      </w:r>
      <w:r w:rsidR="00CD2538" w:rsidRPr="00BF3409">
        <w:rPr>
          <w:rFonts w:ascii="Times New Roman" w:hAnsi="Times New Roman" w:cs="Times New Roman"/>
          <w:color w:val="000000" w:themeColor="text1"/>
          <w:sz w:val="18"/>
          <w:szCs w:val="18"/>
        </w:rPr>
        <w:t xml:space="preserve"> </w:t>
      </w:r>
      <w:r w:rsidR="00943756" w:rsidRPr="00BF3409">
        <w:rPr>
          <w:rFonts w:ascii="Times New Roman" w:hAnsi="Times New Roman" w:cs="Times New Roman"/>
          <w:color w:val="000000" w:themeColor="text1"/>
          <w:sz w:val="18"/>
          <w:szCs w:val="18"/>
        </w:rPr>
        <w:t xml:space="preserve"> </w:t>
      </w:r>
    </w:p>
  </w:footnote>
  <w:footnote w:id="51">
    <w:p w14:paraId="113CD2C4" w14:textId="5650178F"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r w:rsidRPr="00BF3409">
        <w:rPr>
          <w:rFonts w:ascii="Times New Roman" w:hAnsi="Times New Roman" w:cs="Times New Roman"/>
          <w:color w:val="000000" w:themeColor="text1"/>
          <w:sz w:val="18"/>
          <w:szCs w:val="18"/>
        </w:rPr>
        <w:t>Swedish Volvo (2024</w:t>
      </w:r>
      <w:r w:rsidR="003A5C01" w:rsidRPr="00BF3409">
        <w:rPr>
          <w:rFonts w:ascii="Times New Roman" w:hAnsi="Times New Roman" w:cs="Times New Roman"/>
          <w:color w:val="000000" w:themeColor="text1"/>
          <w:sz w:val="18"/>
          <w:szCs w:val="18"/>
        </w:rPr>
        <w:t>)</w:t>
      </w:r>
      <w:r w:rsidR="00BE7C16" w:rsidRPr="00BF3409">
        <w:rPr>
          <w:rFonts w:ascii="Times New Roman" w:hAnsi="Times New Roman" w:cs="Times New Roman"/>
          <w:color w:val="000000" w:themeColor="text1"/>
          <w:sz w:val="18"/>
          <w:szCs w:val="18"/>
        </w:rPr>
        <w:t>, n. 14.</w:t>
      </w:r>
    </w:p>
  </w:footnote>
  <w:footnote w:id="52">
    <w:p w14:paraId="4A0FF0AE" w14:textId="09FA6C04"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r w:rsidR="003A5C01" w:rsidRPr="00BF3409">
        <w:rPr>
          <w:rFonts w:ascii="Times New Roman" w:hAnsi="Times New Roman" w:cs="Times New Roman"/>
          <w:color w:val="000000" w:themeColor="text1"/>
          <w:sz w:val="18"/>
          <w:szCs w:val="18"/>
        </w:rPr>
        <w:t>E</w:t>
      </w:r>
      <w:r w:rsidRPr="00BF3409">
        <w:rPr>
          <w:rFonts w:ascii="Times New Roman" w:hAnsi="Times New Roman" w:cs="Times New Roman"/>
          <w:color w:val="000000" w:themeColor="text1"/>
          <w:sz w:val="18"/>
          <w:szCs w:val="18"/>
        </w:rPr>
        <w:t xml:space="preserve">.g. Swedish </w:t>
      </w:r>
      <w:proofErr w:type="spellStart"/>
      <w:r w:rsidRPr="00BF3409">
        <w:rPr>
          <w:rFonts w:ascii="Times New Roman" w:hAnsi="Times New Roman" w:cs="Times New Roman"/>
          <w:color w:val="000000" w:themeColor="text1"/>
          <w:sz w:val="18"/>
          <w:szCs w:val="18"/>
        </w:rPr>
        <w:t>Fabege</w:t>
      </w:r>
      <w:proofErr w:type="spellEnd"/>
      <w:r w:rsidRPr="00BF3409">
        <w:rPr>
          <w:rFonts w:ascii="Times New Roman" w:hAnsi="Times New Roman" w:cs="Times New Roman"/>
          <w:color w:val="000000" w:themeColor="text1"/>
          <w:sz w:val="18"/>
          <w:szCs w:val="18"/>
        </w:rPr>
        <w:t xml:space="preserve"> (2024</w:t>
      </w:r>
      <w:r w:rsidR="00B51D53" w:rsidRPr="00BF3409">
        <w:rPr>
          <w:rFonts w:ascii="Times New Roman" w:hAnsi="Times New Roman" w:cs="Times New Roman"/>
          <w:color w:val="000000" w:themeColor="text1"/>
          <w:sz w:val="18"/>
          <w:szCs w:val="18"/>
        </w:rPr>
        <w:t>), n. 14.</w:t>
      </w:r>
    </w:p>
  </w:footnote>
  <w:footnote w:id="53">
    <w:p w14:paraId="7365D282" w14:textId="18EF01EA"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Polish </w:t>
      </w:r>
      <w:proofErr w:type="spellStart"/>
      <w:r w:rsidRPr="00BF3409">
        <w:rPr>
          <w:rFonts w:ascii="Times New Roman" w:hAnsi="Times New Roman" w:cs="Times New Roman"/>
          <w:color w:val="000000" w:themeColor="text1"/>
          <w:sz w:val="18"/>
          <w:szCs w:val="18"/>
        </w:rPr>
        <w:t>Ghelamco</w:t>
      </w:r>
      <w:proofErr w:type="spellEnd"/>
      <w:r w:rsidR="00B51D53"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2023</w:t>
      </w:r>
      <w:r w:rsidR="00B51D53" w:rsidRPr="00BF3409">
        <w:rPr>
          <w:rFonts w:ascii="Times New Roman" w:hAnsi="Times New Roman" w:cs="Times New Roman"/>
          <w:color w:val="000000" w:themeColor="text1"/>
          <w:sz w:val="18"/>
          <w:szCs w:val="18"/>
        </w:rPr>
        <w:t>), n. 14.</w:t>
      </w:r>
    </w:p>
  </w:footnote>
  <w:footnote w:id="54">
    <w:p w14:paraId="015790D0" w14:textId="42C7CB38"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Swedish H&amp;M (2023) and Dutch Delhaize (2023</w:t>
      </w:r>
      <w:r w:rsidR="00B51D53" w:rsidRPr="00BF3409">
        <w:rPr>
          <w:rFonts w:ascii="Times New Roman" w:hAnsi="Times New Roman" w:cs="Times New Roman"/>
          <w:sz w:val="18"/>
          <w:szCs w:val="18"/>
        </w:rPr>
        <w:t>), n. 14.</w:t>
      </w:r>
    </w:p>
  </w:footnote>
  <w:footnote w:id="55">
    <w:p w14:paraId="48EE0990" w14:textId="7C24D287"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Agostini, n. 9, p. 164.</w:t>
      </w:r>
    </w:p>
  </w:footnote>
  <w:footnote w:id="56">
    <w:p w14:paraId="6EF1C030" w14:textId="560ED6A5"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Dutch ING (2022) and Swedish Volvo (2024</w:t>
      </w:r>
      <w:r w:rsidR="003A5C01" w:rsidRPr="00BF3409">
        <w:rPr>
          <w:rFonts w:ascii="Times New Roman" w:hAnsi="Times New Roman" w:cs="Times New Roman"/>
          <w:sz w:val="18"/>
          <w:szCs w:val="18"/>
        </w:rPr>
        <w:t>)</w:t>
      </w:r>
      <w:r w:rsidR="00B51D53" w:rsidRPr="00BF3409">
        <w:rPr>
          <w:rFonts w:ascii="Times New Roman" w:hAnsi="Times New Roman" w:cs="Times New Roman"/>
          <w:sz w:val="18"/>
          <w:szCs w:val="18"/>
        </w:rPr>
        <w:t>, n. 14.</w:t>
      </w:r>
    </w:p>
  </w:footnote>
  <w:footnote w:id="57">
    <w:p w14:paraId="324C01A1" w14:textId="72F06E80"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Swedish </w:t>
      </w:r>
      <w:proofErr w:type="spellStart"/>
      <w:r w:rsidRPr="00BF3409">
        <w:rPr>
          <w:rFonts w:ascii="Times New Roman" w:hAnsi="Times New Roman" w:cs="Times New Roman"/>
          <w:sz w:val="18"/>
          <w:szCs w:val="18"/>
        </w:rPr>
        <w:t>Sveaskog</w:t>
      </w:r>
      <w:proofErr w:type="spellEnd"/>
      <w:r w:rsidRPr="00BF3409">
        <w:rPr>
          <w:rFonts w:ascii="Times New Roman" w:hAnsi="Times New Roman" w:cs="Times New Roman"/>
          <w:sz w:val="18"/>
          <w:szCs w:val="18"/>
        </w:rPr>
        <w:t xml:space="preserve"> (2023</w:t>
      </w:r>
      <w:r w:rsidR="003A5C01" w:rsidRPr="00BF3409">
        <w:rPr>
          <w:rFonts w:ascii="Times New Roman" w:hAnsi="Times New Roman" w:cs="Times New Roman"/>
          <w:sz w:val="18"/>
          <w:szCs w:val="18"/>
        </w:rPr>
        <w:t>)</w:t>
      </w:r>
      <w:r w:rsidR="00C742FC" w:rsidRPr="00BF3409">
        <w:rPr>
          <w:rFonts w:ascii="Times New Roman" w:hAnsi="Times New Roman" w:cs="Times New Roman"/>
          <w:sz w:val="18"/>
          <w:szCs w:val="18"/>
        </w:rPr>
        <w:t>, n. 14.</w:t>
      </w:r>
    </w:p>
  </w:footnote>
  <w:footnote w:id="58">
    <w:p w14:paraId="11735D9B" w14:textId="14753FD9"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r w:rsidR="003A5C01" w:rsidRPr="00BF3409">
        <w:rPr>
          <w:rFonts w:ascii="Times New Roman" w:hAnsi="Times New Roman" w:cs="Times New Roman"/>
          <w:color w:val="000000" w:themeColor="text1"/>
          <w:sz w:val="18"/>
          <w:szCs w:val="18"/>
        </w:rPr>
        <w:t xml:space="preserve">See </w:t>
      </w:r>
      <w:r w:rsidRPr="00BF3409">
        <w:rPr>
          <w:rFonts w:ascii="Times New Roman" w:hAnsi="Times New Roman" w:cs="Times New Roman"/>
          <w:color w:val="000000" w:themeColor="text1"/>
          <w:sz w:val="18"/>
          <w:szCs w:val="18"/>
        </w:rPr>
        <w:t>also Swedish SEB (2023</w:t>
      </w:r>
      <w:r w:rsidR="003A5C01"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Dutch Green Storm (2023)</w:t>
      </w:r>
      <w:r w:rsidR="00C742FC" w:rsidRPr="00BF3409">
        <w:rPr>
          <w:rFonts w:ascii="Times New Roman" w:hAnsi="Times New Roman" w:cs="Times New Roman"/>
          <w:color w:val="000000" w:themeColor="text1"/>
          <w:sz w:val="18"/>
          <w:szCs w:val="18"/>
        </w:rPr>
        <w:t>, n. 14</w:t>
      </w:r>
      <w:r w:rsidRPr="00BF3409">
        <w:rPr>
          <w:rFonts w:ascii="Times New Roman" w:hAnsi="Times New Roman" w:cs="Times New Roman"/>
          <w:color w:val="000000" w:themeColor="text1"/>
          <w:sz w:val="18"/>
          <w:szCs w:val="18"/>
        </w:rPr>
        <w:t>.</w:t>
      </w:r>
      <w:r w:rsidRPr="00BF3409">
        <w:rPr>
          <w:rFonts w:ascii="Times New Roman" w:hAnsi="Times New Roman" w:cs="Times New Roman"/>
          <w:sz w:val="18"/>
          <w:szCs w:val="18"/>
        </w:rPr>
        <w:t xml:space="preserve"> For example, Swedish </w:t>
      </w:r>
      <w:proofErr w:type="spellStart"/>
      <w:r w:rsidRPr="00BF3409">
        <w:rPr>
          <w:rFonts w:ascii="Times New Roman" w:hAnsi="Times New Roman" w:cs="Times New Roman"/>
          <w:sz w:val="18"/>
          <w:szCs w:val="18"/>
        </w:rPr>
        <w:t>Fabege’s</w:t>
      </w:r>
      <w:proofErr w:type="spellEnd"/>
      <w:r w:rsidRPr="00BF3409">
        <w:rPr>
          <w:rFonts w:ascii="Times New Roman" w:hAnsi="Times New Roman" w:cs="Times New Roman"/>
          <w:sz w:val="18"/>
          <w:szCs w:val="18"/>
        </w:rPr>
        <w:t xml:space="preserve"> issuance identifies </w:t>
      </w:r>
      <w:r w:rsidR="003A5C01" w:rsidRPr="00BF3409">
        <w:rPr>
          <w:rFonts w:ascii="Times New Roman" w:hAnsi="Times New Roman" w:cs="Times New Roman"/>
          <w:sz w:val="18"/>
          <w:szCs w:val="18"/>
        </w:rPr>
        <w:t>the</w:t>
      </w:r>
      <w:r w:rsidRPr="00BF3409">
        <w:rPr>
          <w:rFonts w:ascii="Times New Roman" w:hAnsi="Times New Roman" w:cs="Times New Roman"/>
          <w:sz w:val="18"/>
          <w:szCs w:val="18"/>
        </w:rPr>
        <w:t xml:space="preserve"> risk that bond issues might not meet EUGBR </w:t>
      </w:r>
      <w:r w:rsidR="003A5C01" w:rsidRPr="00BF3409">
        <w:rPr>
          <w:rFonts w:ascii="Times New Roman" w:hAnsi="Times New Roman" w:cs="Times New Roman"/>
          <w:sz w:val="18"/>
          <w:szCs w:val="18"/>
        </w:rPr>
        <w:t xml:space="preserve">even </w:t>
      </w:r>
      <w:r w:rsidRPr="00BF3409">
        <w:rPr>
          <w:rFonts w:ascii="Times New Roman" w:hAnsi="Times New Roman" w:cs="Times New Roman"/>
          <w:sz w:val="18"/>
          <w:szCs w:val="18"/>
        </w:rPr>
        <w:t xml:space="preserve">in 2019. </w:t>
      </w:r>
    </w:p>
  </w:footnote>
  <w:footnote w:id="59">
    <w:p w14:paraId="235D701B" w14:textId="7337DBAD"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Spanish BBVA (2024</w:t>
      </w:r>
      <w:r w:rsidR="003A5C01" w:rsidRPr="00BF3409">
        <w:rPr>
          <w:rFonts w:ascii="Times New Roman" w:hAnsi="Times New Roman" w:cs="Times New Roman"/>
          <w:sz w:val="18"/>
          <w:szCs w:val="18"/>
        </w:rPr>
        <w:t>)</w:t>
      </w:r>
      <w:r w:rsidR="00C742FC" w:rsidRPr="00BF3409">
        <w:rPr>
          <w:rFonts w:ascii="Times New Roman" w:hAnsi="Times New Roman" w:cs="Times New Roman"/>
          <w:sz w:val="18"/>
          <w:szCs w:val="18"/>
        </w:rPr>
        <w:t>, n. 14.</w:t>
      </w:r>
    </w:p>
  </w:footnote>
  <w:footnote w:id="60">
    <w:p w14:paraId="005163DA" w14:textId="0E471F62" w:rsidR="003F527E" w:rsidRPr="00BF3409" w:rsidRDefault="003F527E" w:rsidP="003F527E">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A coupon is the periodic interest payment that a bond issuer makes to the bondholder, usually expressed as a percentage of the bond’s face value. A </w:t>
      </w:r>
      <w:r w:rsidR="00A86040" w:rsidRPr="00BF3409">
        <w:rPr>
          <w:rFonts w:ascii="Times New Roman" w:hAnsi="Times New Roman" w:cs="Times New Roman"/>
          <w:sz w:val="18"/>
          <w:szCs w:val="18"/>
        </w:rPr>
        <w:t>step-up/step-down coupon eve</w:t>
      </w:r>
      <w:r w:rsidR="00FE625D" w:rsidRPr="00BF3409">
        <w:rPr>
          <w:rFonts w:ascii="Times New Roman" w:hAnsi="Times New Roman" w:cs="Times New Roman"/>
          <w:sz w:val="18"/>
          <w:szCs w:val="18"/>
        </w:rPr>
        <w:t xml:space="preserve">nt are when the coupon rate changes </w:t>
      </w:r>
      <w:r w:rsidR="00C742FC" w:rsidRPr="00BF3409">
        <w:rPr>
          <w:rFonts w:ascii="Times New Roman" w:hAnsi="Times New Roman" w:cs="Times New Roman"/>
          <w:sz w:val="18"/>
          <w:szCs w:val="18"/>
        </w:rPr>
        <w:t>under specified conditions</w:t>
      </w:r>
      <w:r w:rsidR="002E1564" w:rsidRPr="00BF3409">
        <w:rPr>
          <w:rFonts w:ascii="Times New Roman" w:hAnsi="Times New Roman" w:cs="Times New Roman"/>
          <w:sz w:val="18"/>
          <w:szCs w:val="18"/>
        </w:rPr>
        <w:t xml:space="preserve">, either </w:t>
      </w:r>
      <w:r w:rsidR="00B54B9B" w:rsidRPr="00BF3409">
        <w:rPr>
          <w:rFonts w:ascii="Times New Roman" w:hAnsi="Times New Roman" w:cs="Times New Roman"/>
          <w:sz w:val="18"/>
          <w:szCs w:val="18"/>
        </w:rPr>
        <w:t>being increased (step-up) or decreased (step-down).</w:t>
      </w:r>
    </w:p>
    <w:p w14:paraId="252BEA0B" w14:textId="3F7A0172" w:rsidR="003F527E" w:rsidRPr="00BF3409" w:rsidRDefault="003F527E" w:rsidP="003F527E">
      <w:pPr>
        <w:pStyle w:val="Tekstprzypisudolnego"/>
        <w:rPr>
          <w:rFonts w:ascii="Times New Roman" w:hAnsi="Times New Roman" w:cs="Times New Roman"/>
          <w:sz w:val="18"/>
          <w:szCs w:val="18"/>
        </w:rPr>
      </w:pPr>
    </w:p>
  </w:footnote>
  <w:footnote w:id="61">
    <w:p w14:paraId="2D527BA8" w14:textId="7B5E71A0"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Dutch </w:t>
      </w:r>
      <w:proofErr w:type="spellStart"/>
      <w:r w:rsidRPr="00BF3409">
        <w:rPr>
          <w:rFonts w:ascii="Times New Roman" w:hAnsi="Times New Roman" w:cs="Times New Roman"/>
          <w:sz w:val="18"/>
          <w:szCs w:val="18"/>
        </w:rPr>
        <w:t>Stedin</w:t>
      </w:r>
      <w:proofErr w:type="spellEnd"/>
      <w:r w:rsidRPr="00BF3409">
        <w:rPr>
          <w:rFonts w:ascii="Times New Roman" w:hAnsi="Times New Roman" w:cs="Times New Roman"/>
          <w:sz w:val="18"/>
          <w:szCs w:val="18"/>
        </w:rPr>
        <w:t xml:space="preserve"> (2021) and Swedish </w:t>
      </w:r>
      <w:proofErr w:type="spellStart"/>
      <w:r w:rsidRPr="00BF3409">
        <w:rPr>
          <w:rFonts w:ascii="Times New Roman" w:hAnsi="Times New Roman" w:cs="Times New Roman"/>
          <w:sz w:val="18"/>
          <w:szCs w:val="18"/>
        </w:rPr>
        <w:t>Vasakronan</w:t>
      </w:r>
      <w:proofErr w:type="spellEnd"/>
      <w:r w:rsidRPr="00BF3409">
        <w:rPr>
          <w:rFonts w:ascii="Times New Roman" w:hAnsi="Times New Roman" w:cs="Times New Roman"/>
          <w:sz w:val="18"/>
          <w:szCs w:val="18"/>
        </w:rPr>
        <w:t xml:space="preserve"> (2022)</w:t>
      </w:r>
      <w:r w:rsidR="00277F52" w:rsidRPr="00BF3409">
        <w:rPr>
          <w:rFonts w:ascii="Times New Roman" w:hAnsi="Times New Roman" w:cs="Times New Roman"/>
          <w:sz w:val="18"/>
          <w:szCs w:val="18"/>
        </w:rPr>
        <w:t xml:space="preserve">, n. 14. </w:t>
      </w:r>
    </w:p>
  </w:footnote>
  <w:footnote w:id="62">
    <w:p w14:paraId="40A1ECD5" w14:textId="1B463A3C"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Dutch Delhaize (2023)</w:t>
      </w:r>
      <w:r w:rsidR="00277F52" w:rsidRPr="00BF3409">
        <w:rPr>
          <w:rFonts w:ascii="Times New Roman" w:hAnsi="Times New Roman" w:cs="Times New Roman"/>
          <w:sz w:val="18"/>
          <w:szCs w:val="18"/>
        </w:rPr>
        <w:t>, n. 14.</w:t>
      </w:r>
    </w:p>
  </w:footnote>
  <w:footnote w:id="63">
    <w:p w14:paraId="0C19E5EB" w14:textId="2281B20F"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r w:rsidR="00277F52" w:rsidRPr="00BF3409">
        <w:rPr>
          <w:rFonts w:ascii="Times New Roman" w:hAnsi="Times New Roman" w:cs="Times New Roman"/>
          <w:sz w:val="18"/>
          <w:szCs w:val="18"/>
        </w:rPr>
        <w:t xml:space="preserve">Events of Default in bonds are specific situations or conditions, defined in the bond indenture or loan agreement, that constitute a breach by the issuer and allow bondholders (or the trustee on their behalf) to accelerate repayment of principal and interest. See e.g. </w:t>
      </w:r>
      <w:r w:rsidRPr="00BF3409">
        <w:rPr>
          <w:rFonts w:ascii="Times New Roman" w:hAnsi="Times New Roman" w:cs="Times New Roman"/>
          <w:sz w:val="18"/>
          <w:szCs w:val="18"/>
        </w:rPr>
        <w:t xml:space="preserve">Polish </w:t>
      </w:r>
      <w:proofErr w:type="spellStart"/>
      <w:r w:rsidRPr="00BF3409">
        <w:rPr>
          <w:rFonts w:ascii="Times New Roman" w:hAnsi="Times New Roman" w:cs="Times New Roman"/>
          <w:sz w:val="18"/>
          <w:szCs w:val="18"/>
        </w:rPr>
        <w:t>mBank</w:t>
      </w:r>
      <w:proofErr w:type="spellEnd"/>
      <w:r w:rsidRPr="00BF3409">
        <w:rPr>
          <w:rFonts w:ascii="Times New Roman" w:hAnsi="Times New Roman" w:cs="Times New Roman"/>
          <w:sz w:val="18"/>
          <w:szCs w:val="18"/>
        </w:rPr>
        <w:t xml:space="preserve"> (2022)</w:t>
      </w:r>
      <w:r w:rsidR="00277F52" w:rsidRPr="00BF3409">
        <w:rPr>
          <w:rFonts w:ascii="Times New Roman" w:hAnsi="Times New Roman" w:cs="Times New Roman"/>
          <w:sz w:val="18"/>
          <w:szCs w:val="18"/>
        </w:rPr>
        <w:t>, n. 14.</w:t>
      </w:r>
    </w:p>
  </w:footnote>
  <w:footnote w:id="64">
    <w:p w14:paraId="49C2D967" w14:textId="799D3654"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Dutch </w:t>
      </w:r>
      <w:proofErr w:type="spellStart"/>
      <w:r w:rsidRPr="00BF3409">
        <w:rPr>
          <w:rFonts w:ascii="Times New Roman" w:hAnsi="Times New Roman" w:cs="Times New Roman"/>
          <w:sz w:val="18"/>
          <w:szCs w:val="18"/>
        </w:rPr>
        <w:t>Alliander</w:t>
      </w:r>
      <w:proofErr w:type="spellEnd"/>
      <w:r w:rsidRPr="00BF3409">
        <w:rPr>
          <w:rFonts w:ascii="Times New Roman" w:hAnsi="Times New Roman" w:cs="Times New Roman"/>
          <w:sz w:val="18"/>
          <w:szCs w:val="18"/>
        </w:rPr>
        <w:t xml:space="preserve"> (2024)</w:t>
      </w:r>
      <w:r w:rsidR="00277F52" w:rsidRPr="00BF3409">
        <w:rPr>
          <w:rFonts w:ascii="Times New Roman" w:hAnsi="Times New Roman" w:cs="Times New Roman"/>
          <w:sz w:val="18"/>
          <w:szCs w:val="18"/>
        </w:rPr>
        <w:t>, n. 14.</w:t>
      </w:r>
    </w:p>
  </w:footnote>
  <w:footnote w:id="65">
    <w:p w14:paraId="3C5EE1E0" w14:textId="4902752B"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Polish </w:t>
      </w:r>
      <w:proofErr w:type="spellStart"/>
      <w:r w:rsidRPr="00BF3409">
        <w:rPr>
          <w:rFonts w:ascii="Times New Roman" w:hAnsi="Times New Roman" w:cs="Times New Roman"/>
          <w:sz w:val="18"/>
          <w:szCs w:val="18"/>
        </w:rPr>
        <w:t>mBank</w:t>
      </w:r>
      <w:proofErr w:type="spellEnd"/>
      <w:r w:rsidRPr="00BF3409">
        <w:rPr>
          <w:rFonts w:ascii="Times New Roman" w:hAnsi="Times New Roman" w:cs="Times New Roman"/>
          <w:sz w:val="18"/>
          <w:szCs w:val="18"/>
        </w:rPr>
        <w:t xml:space="preserve"> (2023) and </w:t>
      </w:r>
      <w:proofErr w:type="spellStart"/>
      <w:r w:rsidRPr="00BF3409">
        <w:rPr>
          <w:rFonts w:ascii="Times New Roman" w:hAnsi="Times New Roman" w:cs="Times New Roman"/>
          <w:sz w:val="18"/>
          <w:szCs w:val="18"/>
        </w:rPr>
        <w:t>Famur</w:t>
      </w:r>
      <w:proofErr w:type="spellEnd"/>
      <w:r w:rsidRPr="00BF3409">
        <w:rPr>
          <w:rFonts w:ascii="Times New Roman" w:hAnsi="Times New Roman" w:cs="Times New Roman"/>
          <w:sz w:val="18"/>
          <w:szCs w:val="18"/>
        </w:rPr>
        <w:t xml:space="preserve"> (2021</w:t>
      </w:r>
      <w:r w:rsidR="00277F52" w:rsidRPr="00BF3409">
        <w:rPr>
          <w:rFonts w:ascii="Times New Roman" w:hAnsi="Times New Roman" w:cs="Times New Roman"/>
          <w:sz w:val="18"/>
          <w:szCs w:val="18"/>
        </w:rPr>
        <w:t>), n. 14.</w:t>
      </w:r>
    </w:p>
  </w:footnote>
  <w:footnote w:id="66">
    <w:p w14:paraId="4450E392" w14:textId="39FB9472"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Polish </w:t>
      </w:r>
      <w:proofErr w:type="spellStart"/>
      <w:r w:rsidRPr="00BF3409">
        <w:rPr>
          <w:rFonts w:ascii="Times New Roman" w:hAnsi="Times New Roman" w:cs="Times New Roman"/>
          <w:sz w:val="18"/>
          <w:szCs w:val="18"/>
        </w:rPr>
        <w:t>Ghelamco</w:t>
      </w:r>
      <w:proofErr w:type="spellEnd"/>
      <w:r w:rsidRPr="00BF3409">
        <w:rPr>
          <w:rFonts w:ascii="Times New Roman" w:hAnsi="Times New Roman" w:cs="Times New Roman"/>
          <w:sz w:val="18"/>
          <w:szCs w:val="18"/>
        </w:rPr>
        <w:t xml:space="preserve"> (2023)</w:t>
      </w:r>
      <w:r w:rsidR="00277F52" w:rsidRPr="00BF3409">
        <w:rPr>
          <w:rFonts w:ascii="Times New Roman" w:hAnsi="Times New Roman" w:cs="Times New Roman"/>
          <w:sz w:val="18"/>
          <w:szCs w:val="18"/>
        </w:rPr>
        <w:t>, n. 14.</w:t>
      </w:r>
    </w:p>
  </w:footnote>
  <w:footnote w:id="67">
    <w:p w14:paraId="46B0A3AB" w14:textId="0A564285"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This is notwithstanding </w:t>
      </w:r>
      <w:r w:rsidR="003A5C01" w:rsidRPr="00BF3409">
        <w:rPr>
          <w:rFonts w:ascii="Times New Roman" w:hAnsi="Times New Roman" w:cs="Times New Roman"/>
          <w:color w:val="000000" w:themeColor="text1"/>
          <w:sz w:val="18"/>
          <w:szCs w:val="18"/>
        </w:rPr>
        <w:t xml:space="preserve">the </w:t>
      </w:r>
      <w:r w:rsidRPr="00BF3409">
        <w:rPr>
          <w:rFonts w:ascii="Times New Roman" w:hAnsi="Times New Roman" w:cs="Times New Roman"/>
          <w:color w:val="000000" w:themeColor="text1"/>
          <w:sz w:val="18"/>
          <w:szCs w:val="18"/>
        </w:rPr>
        <w:t>structural loopholes which may be integrated into the terms</w:t>
      </w:r>
      <w:r w:rsidR="003A5C0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such as the option to buy-back debt before </w:t>
      </w:r>
      <w:r w:rsidR="003A5C01"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 xml:space="preserve">Imtiaz Ul </w:t>
      </w:r>
      <w:proofErr w:type="spellStart"/>
      <w:r w:rsidRPr="00BF3409">
        <w:rPr>
          <w:rFonts w:ascii="Times New Roman" w:hAnsi="Times New Roman" w:cs="Times New Roman"/>
          <w:color w:val="000000" w:themeColor="text1"/>
          <w:sz w:val="18"/>
          <w:szCs w:val="18"/>
        </w:rPr>
        <w:t>Haq</w:t>
      </w:r>
      <w:proofErr w:type="spellEnd"/>
      <w:r w:rsidRPr="00BF3409">
        <w:rPr>
          <w:rFonts w:ascii="Times New Roman" w:hAnsi="Times New Roman" w:cs="Times New Roman"/>
          <w:color w:val="000000" w:themeColor="text1"/>
          <w:sz w:val="18"/>
          <w:szCs w:val="18"/>
        </w:rPr>
        <w:t xml:space="preserve"> and </w:t>
      </w:r>
      <w:proofErr w:type="spellStart"/>
      <w:r w:rsidRPr="00BF3409">
        <w:rPr>
          <w:rFonts w:ascii="Times New Roman" w:hAnsi="Times New Roman" w:cs="Times New Roman"/>
          <w:color w:val="000000" w:themeColor="text1"/>
          <w:sz w:val="18"/>
          <w:szCs w:val="18"/>
        </w:rPr>
        <w:t>Djeneba</w:t>
      </w:r>
      <w:proofErr w:type="spellEnd"/>
      <w:r w:rsidRPr="00BF3409">
        <w:rPr>
          <w:rFonts w:ascii="Times New Roman" w:hAnsi="Times New Roman" w:cs="Times New Roman"/>
          <w:color w:val="000000" w:themeColor="text1"/>
          <w:sz w:val="18"/>
          <w:szCs w:val="18"/>
        </w:rPr>
        <w:t xml:space="preserve"> Doumbia, </w:t>
      </w:r>
      <w:r w:rsidR="003A5C01" w:rsidRPr="00BF3409">
        <w:rPr>
          <w:rFonts w:ascii="Times New Roman" w:hAnsi="Times New Roman" w:cs="Times New Roman"/>
          <w:color w:val="000000" w:themeColor="text1"/>
          <w:sz w:val="18"/>
          <w:szCs w:val="18"/>
        </w:rPr>
        <w:t xml:space="preserve">‘Structural </w:t>
      </w:r>
      <w:r w:rsidRPr="00BF3409">
        <w:rPr>
          <w:rFonts w:ascii="Times New Roman" w:hAnsi="Times New Roman" w:cs="Times New Roman"/>
          <w:color w:val="000000" w:themeColor="text1"/>
          <w:sz w:val="18"/>
          <w:szCs w:val="18"/>
        </w:rPr>
        <w:t>Loopholes in Sustainability-</w:t>
      </w:r>
      <w:r w:rsidR="003A5C01" w:rsidRPr="00BF3409">
        <w:rPr>
          <w:rFonts w:ascii="Times New Roman" w:hAnsi="Times New Roman" w:cs="Times New Roman"/>
          <w:color w:val="000000" w:themeColor="text1"/>
          <w:sz w:val="18"/>
          <w:szCs w:val="18"/>
        </w:rPr>
        <w:t xml:space="preserve">linked Bonds’ </w:t>
      </w:r>
      <w:r w:rsidR="00277F52" w:rsidRPr="00BF3409">
        <w:rPr>
          <w:rFonts w:ascii="Times New Roman" w:hAnsi="Times New Roman" w:cs="Times New Roman"/>
          <w:color w:val="000000" w:themeColor="text1"/>
          <w:sz w:val="18"/>
          <w:szCs w:val="18"/>
        </w:rPr>
        <w:t xml:space="preserve">(2022) </w:t>
      </w:r>
      <w:r w:rsidR="003A5C01" w:rsidRPr="00BF3409">
        <w:rPr>
          <w:rFonts w:ascii="Times New Roman" w:hAnsi="Times New Roman" w:cs="Times New Roman"/>
          <w:i/>
          <w:iCs/>
          <w:color w:val="000000" w:themeColor="text1"/>
          <w:sz w:val="18"/>
          <w:szCs w:val="18"/>
        </w:rPr>
        <w:t>World Bank Policy Research Working Paper Series</w:t>
      </w:r>
      <w:r w:rsidR="00277F52" w:rsidRPr="00BF3409">
        <w:rPr>
          <w:rFonts w:ascii="Times New Roman" w:hAnsi="Times New Roman" w:cs="Times New Roman"/>
          <w:color w:val="000000" w:themeColor="text1"/>
          <w:sz w:val="18"/>
          <w:szCs w:val="18"/>
        </w:rPr>
        <w:t>.</w:t>
      </w:r>
    </w:p>
  </w:footnote>
  <w:footnote w:id="68">
    <w:p w14:paraId="2186420F" w14:textId="436E1BD4" w:rsidR="008B50D1" w:rsidRPr="00BF3409" w:rsidRDefault="008B50D1" w:rsidP="00E118C3">
      <w:pPr>
        <w:pStyle w:val="Tekstprzypisudolnego"/>
        <w:rPr>
          <w:rFonts w:ascii="Times New Roman" w:hAnsi="Times New Roman" w:cs="Times New Roman"/>
          <w:b/>
          <w:bCs/>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Polish </w:t>
      </w:r>
      <w:proofErr w:type="spellStart"/>
      <w:r w:rsidRPr="00BF3409">
        <w:rPr>
          <w:rFonts w:ascii="Times New Roman" w:hAnsi="Times New Roman" w:cs="Times New Roman"/>
          <w:sz w:val="18"/>
          <w:szCs w:val="18"/>
        </w:rPr>
        <w:t>Famur</w:t>
      </w:r>
      <w:proofErr w:type="spellEnd"/>
      <w:r w:rsidRPr="00BF3409">
        <w:rPr>
          <w:rFonts w:ascii="Times New Roman" w:hAnsi="Times New Roman" w:cs="Times New Roman"/>
          <w:sz w:val="18"/>
          <w:szCs w:val="18"/>
        </w:rPr>
        <w:t xml:space="preserve"> (2021)</w:t>
      </w:r>
      <w:r w:rsidR="00277F52" w:rsidRPr="00BF3409">
        <w:rPr>
          <w:rFonts w:ascii="Times New Roman" w:hAnsi="Times New Roman" w:cs="Times New Roman"/>
          <w:sz w:val="18"/>
          <w:szCs w:val="18"/>
        </w:rPr>
        <w:t>, n. 14</w:t>
      </w:r>
      <w:r w:rsidRPr="00BF3409">
        <w:rPr>
          <w:rFonts w:ascii="Times New Roman" w:hAnsi="Times New Roman" w:cs="Times New Roman"/>
          <w:color w:val="000000" w:themeColor="text1"/>
          <w:sz w:val="18"/>
          <w:szCs w:val="18"/>
        </w:rPr>
        <w:t>.</w:t>
      </w:r>
    </w:p>
  </w:footnote>
  <w:footnote w:id="69">
    <w:p w14:paraId="3B59BF94" w14:textId="0554E73B"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t>
      </w:r>
      <w:r w:rsidR="003A5C01" w:rsidRPr="00BF3409">
        <w:rPr>
          <w:rFonts w:ascii="Times New Roman" w:hAnsi="Times New Roman" w:cs="Times New Roman"/>
          <w:color w:val="000000" w:themeColor="text1"/>
          <w:sz w:val="18"/>
          <w:szCs w:val="18"/>
        </w:rPr>
        <w:t xml:space="preserve">For more on </w:t>
      </w:r>
      <w:r w:rsidRPr="00BF3409">
        <w:rPr>
          <w:rFonts w:ascii="Times New Roman" w:hAnsi="Times New Roman" w:cs="Times New Roman"/>
          <w:color w:val="000000" w:themeColor="text1"/>
          <w:sz w:val="18"/>
          <w:szCs w:val="18"/>
        </w:rPr>
        <w:t>green bond clauses’ (representations, warranties and covenants) quasi-regulatory role</w:t>
      </w:r>
      <w:r w:rsidR="003A5C01"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see Agostini, n. 9, p. 161.</w:t>
      </w:r>
    </w:p>
  </w:footnote>
  <w:footnote w:id="70">
    <w:p w14:paraId="3E8EE694" w14:textId="59104B10"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Ellis </w:t>
      </w:r>
      <w:proofErr w:type="spellStart"/>
      <w:r w:rsidRPr="00BF3409">
        <w:rPr>
          <w:rFonts w:ascii="Times New Roman" w:hAnsi="Times New Roman" w:cs="Times New Roman"/>
          <w:color w:val="000000" w:themeColor="text1"/>
          <w:sz w:val="18"/>
          <w:szCs w:val="18"/>
        </w:rPr>
        <w:t>Ferran</w:t>
      </w:r>
      <w:proofErr w:type="spellEnd"/>
      <w:r w:rsidRPr="00BF3409">
        <w:rPr>
          <w:rFonts w:ascii="Times New Roman" w:hAnsi="Times New Roman" w:cs="Times New Roman"/>
          <w:color w:val="000000" w:themeColor="text1"/>
          <w:sz w:val="18"/>
          <w:szCs w:val="18"/>
        </w:rPr>
        <w:t xml:space="preserve">, ‘Debt Corporate Finance – General </w:t>
      </w:r>
      <w:r w:rsidR="003A5C01" w:rsidRPr="00BF3409">
        <w:rPr>
          <w:rFonts w:ascii="Times New Roman" w:hAnsi="Times New Roman" w:cs="Times New Roman"/>
          <w:color w:val="000000" w:themeColor="text1"/>
          <w:sz w:val="18"/>
          <w:szCs w:val="18"/>
        </w:rPr>
        <w:t xml:space="preserve">Consideration’ </w:t>
      </w:r>
      <w:r w:rsidRPr="00BF3409">
        <w:rPr>
          <w:rFonts w:ascii="Times New Roman" w:hAnsi="Times New Roman" w:cs="Times New Roman"/>
          <w:color w:val="000000" w:themeColor="text1"/>
          <w:sz w:val="18"/>
          <w:szCs w:val="18"/>
        </w:rPr>
        <w:t xml:space="preserve">in </w:t>
      </w:r>
      <w:proofErr w:type="spellStart"/>
      <w:r w:rsidRPr="00BF3409">
        <w:rPr>
          <w:rFonts w:ascii="Times New Roman" w:hAnsi="Times New Roman" w:cs="Times New Roman"/>
          <w:color w:val="000000" w:themeColor="text1"/>
          <w:sz w:val="18"/>
          <w:szCs w:val="18"/>
        </w:rPr>
        <w:t>Eilís</w:t>
      </w:r>
      <w:proofErr w:type="spellEnd"/>
      <w:r w:rsidRPr="00BF3409">
        <w:rPr>
          <w:rFonts w:ascii="Times New Roman" w:hAnsi="Times New Roman" w:cs="Times New Roman"/>
          <w:color w:val="000000" w:themeColor="text1"/>
          <w:sz w:val="18"/>
          <w:szCs w:val="18"/>
        </w:rPr>
        <w:t xml:space="preserve"> </w:t>
      </w:r>
      <w:proofErr w:type="spellStart"/>
      <w:r w:rsidRPr="00BF3409">
        <w:rPr>
          <w:rFonts w:ascii="Times New Roman" w:hAnsi="Times New Roman" w:cs="Times New Roman"/>
          <w:color w:val="000000" w:themeColor="text1"/>
          <w:sz w:val="18"/>
          <w:szCs w:val="18"/>
        </w:rPr>
        <w:t>Ferran</w:t>
      </w:r>
      <w:proofErr w:type="spellEnd"/>
      <w:r w:rsidRPr="00BF3409">
        <w:rPr>
          <w:rFonts w:ascii="Times New Roman" w:hAnsi="Times New Roman" w:cs="Times New Roman"/>
          <w:color w:val="000000" w:themeColor="text1"/>
          <w:sz w:val="18"/>
          <w:szCs w:val="18"/>
        </w:rPr>
        <w:t xml:space="preserve">, Elizabeth Howell and Felix </w:t>
      </w:r>
      <w:proofErr w:type="spellStart"/>
      <w:r w:rsidRPr="00BF3409">
        <w:rPr>
          <w:rFonts w:ascii="Times New Roman" w:hAnsi="Times New Roman" w:cs="Times New Roman"/>
          <w:color w:val="000000" w:themeColor="text1"/>
          <w:sz w:val="18"/>
          <w:szCs w:val="18"/>
        </w:rPr>
        <w:t>Steffek</w:t>
      </w:r>
      <w:proofErr w:type="spellEnd"/>
      <w:r w:rsidRPr="00BF3409">
        <w:rPr>
          <w:rFonts w:ascii="Times New Roman" w:hAnsi="Times New Roman" w:cs="Times New Roman"/>
          <w:color w:val="000000" w:themeColor="text1"/>
          <w:sz w:val="18"/>
          <w:szCs w:val="18"/>
        </w:rPr>
        <w:t xml:space="preserve"> (eds) </w:t>
      </w:r>
      <w:r w:rsidRPr="00BF3409">
        <w:rPr>
          <w:rFonts w:ascii="Times New Roman" w:hAnsi="Times New Roman" w:cs="Times New Roman"/>
          <w:i/>
          <w:iCs/>
          <w:color w:val="000000" w:themeColor="text1"/>
          <w:sz w:val="18"/>
          <w:szCs w:val="18"/>
        </w:rPr>
        <w:t>Principles of Corporate Finance Law</w:t>
      </w:r>
      <w:r w:rsidRPr="00BF3409">
        <w:rPr>
          <w:rFonts w:ascii="Times New Roman" w:hAnsi="Times New Roman" w:cs="Times New Roman"/>
          <w:color w:val="000000" w:themeColor="text1"/>
          <w:sz w:val="18"/>
          <w:szCs w:val="18"/>
        </w:rPr>
        <w:t xml:space="preserve"> (</w:t>
      </w:r>
      <w:r w:rsidR="003A5C01" w:rsidRPr="00BF3409">
        <w:rPr>
          <w:rFonts w:ascii="Times New Roman" w:hAnsi="Times New Roman" w:cs="Times New Roman"/>
          <w:color w:val="000000" w:themeColor="text1"/>
          <w:sz w:val="18"/>
          <w:szCs w:val="18"/>
        </w:rPr>
        <w:t xml:space="preserve">Oxford: </w:t>
      </w:r>
      <w:r w:rsidRPr="00BF3409">
        <w:rPr>
          <w:rFonts w:ascii="Times New Roman" w:hAnsi="Times New Roman" w:cs="Times New Roman"/>
          <w:color w:val="000000" w:themeColor="text1"/>
          <w:sz w:val="18"/>
          <w:szCs w:val="18"/>
        </w:rPr>
        <w:t>Oxford University Press, 2014), 270.</w:t>
      </w:r>
    </w:p>
  </w:footnote>
  <w:footnote w:id="71">
    <w:p w14:paraId="26963556" w14:textId="3833D496"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With conflicting evidence regarding the cost of obtaining sustainable financing, the cost</w:t>
      </w:r>
      <w:r w:rsidR="003A5C01"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dimension of sustainable finance is less prominent</w:t>
      </w:r>
      <w:r w:rsidR="003A5C01" w:rsidRPr="00BF3409">
        <w:rPr>
          <w:rFonts w:ascii="Times New Roman" w:hAnsi="Times New Roman" w:cs="Times New Roman"/>
          <w:color w:val="000000" w:themeColor="text1"/>
          <w:sz w:val="18"/>
          <w:szCs w:val="18"/>
        </w:rPr>
        <w:t xml:space="preserve"> – </w:t>
      </w:r>
      <w:r w:rsidRPr="00BF3409">
        <w:rPr>
          <w:rFonts w:ascii="Times New Roman" w:hAnsi="Times New Roman" w:cs="Times New Roman"/>
          <w:color w:val="000000" w:themeColor="text1"/>
          <w:sz w:val="18"/>
          <w:szCs w:val="18"/>
        </w:rPr>
        <w:t xml:space="preserve">see Julian </w:t>
      </w:r>
      <w:proofErr w:type="spellStart"/>
      <w:r w:rsidRPr="00BF3409">
        <w:rPr>
          <w:rFonts w:ascii="Times New Roman" w:hAnsi="Times New Roman" w:cs="Times New Roman"/>
          <w:color w:val="000000" w:themeColor="text1"/>
          <w:sz w:val="18"/>
          <w:szCs w:val="18"/>
        </w:rPr>
        <w:t>Kölbel</w:t>
      </w:r>
      <w:proofErr w:type="spellEnd"/>
      <w:r w:rsidRPr="00BF3409">
        <w:rPr>
          <w:rFonts w:ascii="Times New Roman" w:hAnsi="Times New Roman" w:cs="Times New Roman"/>
          <w:color w:val="000000" w:themeColor="text1"/>
          <w:sz w:val="18"/>
          <w:szCs w:val="18"/>
        </w:rPr>
        <w:t xml:space="preserve"> and Adriene </w:t>
      </w:r>
      <w:proofErr w:type="spellStart"/>
      <w:r w:rsidRPr="00BF3409">
        <w:rPr>
          <w:rFonts w:ascii="Times New Roman" w:hAnsi="Times New Roman" w:cs="Times New Roman"/>
          <w:color w:val="000000" w:themeColor="text1"/>
          <w:sz w:val="18"/>
          <w:szCs w:val="18"/>
        </w:rPr>
        <w:t>Lambillon</w:t>
      </w:r>
      <w:proofErr w:type="spellEnd"/>
      <w:r w:rsidRPr="00BF3409">
        <w:rPr>
          <w:rFonts w:ascii="Times New Roman" w:hAnsi="Times New Roman" w:cs="Times New Roman"/>
          <w:color w:val="000000" w:themeColor="text1"/>
          <w:sz w:val="18"/>
          <w:szCs w:val="18"/>
        </w:rPr>
        <w:t xml:space="preserve">, n. 4. </w:t>
      </w:r>
    </w:p>
  </w:footnote>
  <w:footnote w:id="72">
    <w:p w14:paraId="62E4A7DA" w14:textId="2C008CBE"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See e.g. Marleen </w:t>
      </w:r>
      <w:proofErr w:type="spellStart"/>
      <w:r w:rsidRPr="00BF3409">
        <w:rPr>
          <w:rFonts w:ascii="Times New Roman" w:hAnsi="Times New Roman" w:cs="Times New Roman"/>
          <w:color w:val="000000" w:themeColor="text1"/>
          <w:sz w:val="18"/>
          <w:szCs w:val="18"/>
        </w:rPr>
        <w:t>Dutordoir</w:t>
      </w:r>
      <w:proofErr w:type="spellEnd"/>
      <w:r w:rsidRPr="00BF3409">
        <w:rPr>
          <w:rFonts w:ascii="Times New Roman" w:hAnsi="Times New Roman" w:cs="Times New Roman"/>
          <w:color w:val="000000" w:themeColor="text1"/>
          <w:sz w:val="18"/>
          <w:szCs w:val="18"/>
        </w:rPr>
        <w:t xml:space="preserve">, </w:t>
      </w:r>
      <w:proofErr w:type="spellStart"/>
      <w:r w:rsidRPr="00BF3409">
        <w:rPr>
          <w:rFonts w:ascii="Times New Roman" w:hAnsi="Times New Roman" w:cs="Times New Roman"/>
          <w:color w:val="000000" w:themeColor="text1"/>
          <w:sz w:val="18"/>
          <w:szCs w:val="18"/>
        </w:rPr>
        <w:t>Shengyu</w:t>
      </w:r>
      <w:proofErr w:type="spellEnd"/>
      <w:r w:rsidRPr="00BF3409">
        <w:rPr>
          <w:rFonts w:ascii="Times New Roman" w:hAnsi="Times New Roman" w:cs="Times New Roman"/>
          <w:color w:val="000000" w:themeColor="text1"/>
          <w:sz w:val="18"/>
          <w:szCs w:val="18"/>
        </w:rPr>
        <w:t xml:space="preserve"> Li and João Queiroz Ferreira Neto, </w:t>
      </w:r>
      <w:r w:rsidR="003A5C01" w:rsidRPr="00BF3409">
        <w:rPr>
          <w:rFonts w:ascii="Times New Roman" w:hAnsi="Times New Roman" w:cs="Times New Roman"/>
          <w:color w:val="000000" w:themeColor="text1"/>
          <w:sz w:val="18"/>
          <w:szCs w:val="18"/>
        </w:rPr>
        <w:t xml:space="preserve">‘Issuer </w:t>
      </w:r>
      <w:r w:rsidRPr="00BF3409">
        <w:rPr>
          <w:rFonts w:ascii="Times New Roman" w:hAnsi="Times New Roman" w:cs="Times New Roman"/>
          <w:color w:val="000000" w:themeColor="text1"/>
          <w:sz w:val="18"/>
          <w:szCs w:val="18"/>
        </w:rPr>
        <w:t xml:space="preserve">Motivations for Corporate Green Bond </w:t>
      </w:r>
      <w:r w:rsidR="003A5C01" w:rsidRPr="00BF3409">
        <w:rPr>
          <w:rFonts w:ascii="Times New Roman" w:hAnsi="Times New Roman" w:cs="Times New Roman"/>
          <w:color w:val="000000" w:themeColor="text1"/>
          <w:sz w:val="18"/>
          <w:szCs w:val="18"/>
        </w:rPr>
        <w:t xml:space="preserve">Offerings’ </w:t>
      </w:r>
      <w:r w:rsidRPr="00BF3409">
        <w:rPr>
          <w:rFonts w:ascii="Times New Roman" w:hAnsi="Times New Roman" w:cs="Times New Roman"/>
          <w:color w:val="000000" w:themeColor="text1"/>
          <w:sz w:val="18"/>
          <w:szCs w:val="18"/>
        </w:rPr>
        <w:t xml:space="preserve">(2024) 35 </w:t>
      </w:r>
      <w:r w:rsidRPr="00BF3409">
        <w:rPr>
          <w:rFonts w:ascii="Times New Roman" w:hAnsi="Times New Roman" w:cs="Times New Roman"/>
          <w:i/>
          <w:iCs/>
          <w:color w:val="000000" w:themeColor="text1"/>
          <w:sz w:val="18"/>
          <w:szCs w:val="18"/>
        </w:rPr>
        <w:t>British Journal of Management</w:t>
      </w:r>
      <w:r w:rsidRPr="00BF3409">
        <w:rPr>
          <w:rFonts w:ascii="Times New Roman" w:hAnsi="Times New Roman" w:cs="Times New Roman"/>
          <w:color w:val="000000" w:themeColor="text1"/>
          <w:sz w:val="18"/>
          <w:szCs w:val="18"/>
        </w:rPr>
        <w:t xml:space="preserve"> 952</w:t>
      </w:r>
      <w:r w:rsidR="003A5C01" w:rsidRPr="00BF3409">
        <w:rPr>
          <w:rFonts w:ascii="Times New Roman" w:hAnsi="Times New Roman" w:cs="Times New Roman"/>
          <w:color w:val="000000" w:themeColor="text1"/>
          <w:sz w:val="18"/>
          <w:szCs w:val="18"/>
        </w:rPr>
        <w:t xml:space="preserve">, </w:t>
      </w:r>
      <w:r w:rsidR="00DD5CE1" w:rsidRPr="00BF3409">
        <w:rPr>
          <w:rFonts w:ascii="Times New Roman" w:hAnsi="Times New Roman" w:cs="Times New Roman"/>
          <w:color w:val="000000" w:themeColor="text1"/>
          <w:sz w:val="18"/>
          <w:szCs w:val="18"/>
        </w:rPr>
        <w:t>who</w:t>
      </w:r>
      <w:r w:rsidRPr="00BF3409">
        <w:rPr>
          <w:rFonts w:ascii="Times New Roman" w:hAnsi="Times New Roman" w:cs="Times New Roman"/>
          <w:color w:val="000000" w:themeColor="text1"/>
          <w:sz w:val="18"/>
          <w:szCs w:val="18"/>
        </w:rPr>
        <w:t xml:space="preserve"> </w:t>
      </w:r>
      <w:r w:rsidR="003A5C01" w:rsidRPr="00BF3409">
        <w:rPr>
          <w:rFonts w:ascii="Times New Roman" w:hAnsi="Times New Roman" w:cs="Times New Roman"/>
          <w:color w:val="000000" w:themeColor="text1"/>
          <w:sz w:val="18"/>
          <w:szCs w:val="18"/>
        </w:rPr>
        <w:t xml:space="preserve">compare </w:t>
      </w:r>
      <w:r w:rsidRPr="00BF3409">
        <w:rPr>
          <w:rFonts w:ascii="Times New Roman" w:hAnsi="Times New Roman" w:cs="Times New Roman"/>
          <w:color w:val="000000" w:themeColor="text1"/>
          <w:sz w:val="18"/>
          <w:szCs w:val="18"/>
        </w:rPr>
        <w:t xml:space="preserve">US, Western European and Chinese issuances. Even where scholars observe the link to territorial aspects, the link to jurisdictional constraints is not made. See Alexander Monk and Richard Perkins, ‘What </w:t>
      </w:r>
      <w:r w:rsidR="003A5C01" w:rsidRPr="00BF3409">
        <w:rPr>
          <w:rFonts w:ascii="Times New Roman" w:hAnsi="Times New Roman" w:cs="Times New Roman"/>
          <w:color w:val="000000" w:themeColor="text1"/>
          <w:sz w:val="18"/>
          <w:szCs w:val="18"/>
        </w:rPr>
        <w:t xml:space="preserve">Explains </w:t>
      </w:r>
      <w:r w:rsidRPr="00BF3409">
        <w:rPr>
          <w:rFonts w:ascii="Times New Roman" w:hAnsi="Times New Roman" w:cs="Times New Roman"/>
          <w:color w:val="000000" w:themeColor="text1"/>
          <w:sz w:val="18"/>
          <w:szCs w:val="18"/>
        </w:rPr>
        <w:t xml:space="preserve">the </w:t>
      </w:r>
      <w:r w:rsidR="003A5C01" w:rsidRPr="00BF3409">
        <w:rPr>
          <w:rFonts w:ascii="Times New Roman" w:hAnsi="Times New Roman" w:cs="Times New Roman"/>
          <w:color w:val="000000" w:themeColor="text1"/>
          <w:sz w:val="18"/>
          <w:szCs w:val="18"/>
        </w:rPr>
        <w:t xml:space="preserve">Emergence </w:t>
      </w:r>
      <w:r w:rsidRPr="00BF3409">
        <w:rPr>
          <w:rFonts w:ascii="Times New Roman" w:hAnsi="Times New Roman" w:cs="Times New Roman"/>
          <w:color w:val="000000" w:themeColor="text1"/>
          <w:sz w:val="18"/>
          <w:szCs w:val="18"/>
        </w:rPr>
        <w:t xml:space="preserve">and </w:t>
      </w:r>
      <w:r w:rsidR="003A5C01" w:rsidRPr="00BF3409">
        <w:rPr>
          <w:rFonts w:ascii="Times New Roman" w:hAnsi="Times New Roman" w:cs="Times New Roman"/>
          <w:color w:val="000000" w:themeColor="text1"/>
          <w:sz w:val="18"/>
          <w:szCs w:val="18"/>
        </w:rPr>
        <w:t xml:space="preserve">Diffusion </w:t>
      </w:r>
      <w:r w:rsidRPr="00BF3409">
        <w:rPr>
          <w:rFonts w:ascii="Times New Roman" w:hAnsi="Times New Roman" w:cs="Times New Roman"/>
          <w:color w:val="000000" w:themeColor="text1"/>
          <w:sz w:val="18"/>
          <w:szCs w:val="18"/>
        </w:rPr>
        <w:t xml:space="preserve">of </w:t>
      </w:r>
      <w:r w:rsidR="003A5C01" w:rsidRPr="00BF3409">
        <w:rPr>
          <w:rFonts w:ascii="Times New Roman" w:hAnsi="Times New Roman" w:cs="Times New Roman"/>
          <w:color w:val="000000" w:themeColor="text1"/>
          <w:sz w:val="18"/>
          <w:szCs w:val="18"/>
        </w:rPr>
        <w:t>Green Bonds</w:t>
      </w:r>
      <w:r w:rsidRPr="00BF3409">
        <w:rPr>
          <w:rFonts w:ascii="Times New Roman" w:hAnsi="Times New Roman" w:cs="Times New Roman"/>
          <w:color w:val="000000" w:themeColor="text1"/>
          <w:sz w:val="18"/>
          <w:szCs w:val="18"/>
        </w:rPr>
        <w:t xml:space="preserve">?’ (2020) 145 </w:t>
      </w:r>
      <w:r w:rsidRPr="00BF3409">
        <w:rPr>
          <w:rFonts w:ascii="Times New Roman" w:hAnsi="Times New Roman" w:cs="Times New Roman"/>
          <w:i/>
          <w:iCs/>
          <w:color w:val="000000" w:themeColor="text1"/>
          <w:sz w:val="18"/>
          <w:szCs w:val="18"/>
        </w:rPr>
        <w:t>Energy Policy</w:t>
      </w:r>
      <w:r w:rsidRPr="00BF3409">
        <w:rPr>
          <w:rFonts w:ascii="Times New Roman" w:hAnsi="Times New Roman" w:cs="Times New Roman"/>
          <w:color w:val="000000" w:themeColor="text1"/>
          <w:sz w:val="18"/>
          <w:szCs w:val="18"/>
        </w:rPr>
        <w:t xml:space="preserve"> 111641.</w:t>
      </w:r>
    </w:p>
  </w:footnote>
  <w:footnote w:id="73">
    <w:p w14:paraId="4F512ACE" w14:textId="310892A7"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Interview SE-1</w:t>
      </w:r>
      <w:r w:rsidR="003A5C01" w:rsidRPr="00BF3409">
        <w:rPr>
          <w:rFonts w:ascii="Times New Roman" w:hAnsi="Times New Roman" w:cs="Times New Roman"/>
          <w:sz w:val="18"/>
          <w:szCs w:val="18"/>
        </w:rPr>
        <w:t xml:space="preserve">, </w:t>
      </w:r>
      <w:r w:rsidRPr="00BF3409">
        <w:rPr>
          <w:rFonts w:ascii="Times New Roman" w:hAnsi="Times New Roman" w:cs="Times New Roman"/>
          <w:sz w:val="18"/>
          <w:szCs w:val="18"/>
        </w:rPr>
        <w:t>Interview PL-3</w:t>
      </w:r>
      <w:r w:rsidR="003A5C01" w:rsidRPr="00BF3409">
        <w:rPr>
          <w:rFonts w:ascii="Times New Roman" w:hAnsi="Times New Roman" w:cs="Times New Roman"/>
          <w:sz w:val="18"/>
          <w:szCs w:val="18"/>
        </w:rPr>
        <w:t xml:space="preserve"> and </w:t>
      </w:r>
      <w:r w:rsidRPr="00BF3409">
        <w:rPr>
          <w:rFonts w:ascii="Times New Roman" w:hAnsi="Times New Roman" w:cs="Times New Roman"/>
          <w:sz w:val="18"/>
          <w:szCs w:val="18"/>
        </w:rPr>
        <w:t>Interview SP-2</w:t>
      </w:r>
      <w:r w:rsidR="00DD5CE1" w:rsidRPr="00BF3409">
        <w:rPr>
          <w:rFonts w:ascii="Times New Roman" w:hAnsi="Times New Roman" w:cs="Times New Roman"/>
          <w:sz w:val="18"/>
          <w:szCs w:val="18"/>
        </w:rPr>
        <w:t>, n. 14</w:t>
      </w:r>
      <w:r w:rsidRPr="00BF3409">
        <w:rPr>
          <w:rFonts w:ascii="Times New Roman" w:hAnsi="Times New Roman" w:cs="Times New Roman"/>
          <w:color w:val="000000" w:themeColor="text1"/>
          <w:sz w:val="18"/>
          <w:szCs w:val="18"/>
        </w:rPr>
        <w:t>.</w:t>
      </w:r>
    </w:p>
  </w:footnote>
  <w:footnote w:id="74">
    <w:p w14:paraId="76C6C5A6" w14:textId="57C285A8"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t>
      </w:r>
      <w:r w:rsidR="008D226D" w:rsidRPr="00BF3409">
        <w:rPr>
          <w:rFonts w:ascii="Times New Roman" w:hAnsi="Times New Roman" w:cs="Times New Roman"/>
          <w:color w:val="000000" w:themeColor="text1"/>
          <w:sz w:val="18"/>
          <w:szCs w:val="18"/>
        </w:rPr>
        <w:t xml:space="preserve">See Interviews in n. </w:t>
      </w:r>
      <w:r w:rsidR="005E08F7" w:rsidRPr="00BF3409">
        <w:rPr>
          <w:rFonts w:ascii="Times New Roman" w:hAnsi="Times New Roman" w:cs="Times New Roman"/>
          <w:color w:val="000000" w:themeColor="text1"/>
          <w:sz w:val="18"/>
          <w:szCs w:val="18"/>
        </w:rPr>
        <w:t>72</w:t>
      </w:r>
      <w:r w:rsidR="008D226D"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 xml:space="preserve">Reluctance from corporate clients for such </w:t>
      </w:r>
      <w:r w:rsidR="003A5C01" w:rsidRPr="00BF3409">
        <w:rPr>
          <w:rFonts w:ascii="Times New Roman" w:hAnsi="Times New Roman" w:cs="Times New Roman"/>
          <w:color w:val="000000" w:themeColor="text1"/>
          <w:sz w:val="18"/>
          <w:szCs w:val="18"/>
        </w:rPr>
        <w:t>a ‘</w:t>
      </w:r>
      <w:r w:rsidRPr="00BF3409">
        <w:rPr>
          <w:rFonts w:ascii="Times New Roman" w:hAnsi="Times New Roman" w:cs="Times New Roman"/>
          <w:color w:val="000000" w:themeColor="text1"/>
          <w:sz w:val="18"/>
          <w:szCs w:val="18"/>
        </w:rPr>
        <w:t>forensic</w:t>
      </w:r>
      <w:r w:rsidR="003A5C01"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 xml:space="preserve">approach to their sustainability credentials is evident in market commentary: </w:t>
      </w:r>
      <w:r w:rsidR="00983032"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Many corporates prefer lenders to take a more holistic approach to their sustainability strategies in their credit discussions. This is in contrast to the forensic approach required for specific </w:t>
      </w:r>
      <w:r w:rsidR="00983032"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labelled</w:t>
      </w:r>
      <w:r w:rsidR="00983032"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sustainable finance products</w:t>
      </w:r>
      <w:r w:rsidR="00983032" w:rsidRPr="00BF3409">
        <w:rPr>
          <w:rFonts w:ascii="Times New Roman" w:hAnsi="Times New Roman" w:cs="Times New Roman"/>
          <w:color w:val="000000" w:themeColor="text1"/>
          <w:sz w:val="18"/>
          <w:szCs w:val="18"/>
        </w:rPr>
        <w:t>’</w:t>
      </w:r>
      <w:r w:rsidR="008D226D" w:rsidRPr="00BF3409">
        <w:rPr>
          <w:rFonts w:ascii="Times New Roman" w:hAnsi="Times New Roman" w:cs="Times New Roman"/>
          <w:color w:val="000000" w:themeColor="text1"/>
          <w:sz w:val="18"/>
          <w:szCs w:val="18"/>
        </w:rPr>
        <w:t>,</w:t>
      </w:r>
      <w:r w:rsidR="00983032"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 xml:space="preserve">Herbert Smith Freehills and the Association of Corporate Treasurers, </w:t>
      </w:r>
      <w:r w:rsidRPr="00BF3409">
        <w:rPr>
          <w:rFonts w:ascii="Times New Roman" w:hAnsi="Times New Roman" w:cs="Times New Roman"/>
          <w:i/>
          <w:iCs/>
          <w:color w:val="000000" w:themeColor="text1"/>
          <w:sz w:val="18"/>
          <w:szCs w:val="18"/>
        </w:rPr>
        <w:t>Corporate Debt and Treasury Report 2024</w:t>
      </w:r>
      <w:r w:rsidRPr="00BF3409">
        <w:rPr>
          <w:rFonts w:ascii="Times New Roman" w:hAnsi="Times New Roman" w:cs="Times New Roman"/>
          <w:color w:val="000000" w:themeColor="text1"/>
          <w:sz w:val="18"/>
          <w:szCs w:val="18"/>
        </w:rPr>
        <w:t xml:space="preserve"> (Herbert Smith Freehills/Association of Corporate Treasurers 2024) https://www.hsfkramer.com/insights/reports/corporate-debt-and-treasury-report-2024</w:t>
      </w:r>
      <w:r w:rsidR="00983032"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accessed 15 June 2025.</w:t>
      </w:r>
    </w:p>
  </w:footnote>
  <w:footnote w:id="75">
    <w:p w14:paraId="058BA9EE" w14:textId="4C27C295"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Interview PL-3</w:t>
      </w:r>
      <w:r w:rsidR="005E08F7" w:rsidRPr="00BF3409">
        <w:rPr>
          <w:rFonts w:ascii="Times New Roman" w:hAnsi="Times New Roman" w:cs="Times New Roman"/>
          <w:sz w:val="18"/>
          <w:szCs w:val="18"/>
        </w:rPr>
        <w:t>, n. 14.</w:t>
      </w:r>
    </w:p>
  </w:footnote>
  <w:footnote w:id="76">
    <w:p w14:paraId="311BA512" w14:textId="64790F48" w:rsidR="008B50D1" w:rsidRPr="00BF3409" w:rsidRDefault="008B50D1" w:rsidP="00E118C3">
      <w:pPr>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Agostini, n. 9, p. 165</w:t>
      </w:r>
      <w:r w:rsidR="00983032" w:rsidRPr="00BF3409">
        <w:rPr>
          <w:rFonts w:ascii="Times New Roman" w:hAnsi="Times New Roman" w:cs="Times New Roman"/>
          <w:color w:val="000000" w:themeColor="text1"/>
          <w:sz w:val="18"/>
          <w:szCs w:val="18"/>
        </w:rPr>
        <w:t xml:space="preserve">. </w:t>
      </w:r>
      <w:r w:rsidR="00BD2F0A" w:rsidRPr="00BF3409">
        <w:rPr>
          <w:rFonts w:ascii="Times New Roman" w:hAnsi="Times New Roman" w:cs="Times New Roman"/>
          <w:color w:val="000000" w:themeColor="text1"/>
          <w:sz w:val="18"/>
          <w:szCs w:val="18"/>
        </w:rPr>
        <w:t xml:space="preserve">For an overview of a 2023 Australian case where the Federal Court ruled that Vanguard Investments Australia’s claims about an ethical bond were false and misleading, see </w:t>
      </w:r>
      <w:r w:rsidRPr="00BF3409">
        <w:rPr>
          <w:rFonts w:ascii="Times New Roman" w:hAnsi="Times New Roman" w:cs="Times New Roman"/>
          <w:color w:val="000000" w:themeColor="text1"/>
          <w:sz w:val="18"/>
          <w:szCs w:val="18"/>
        </w:rPr>
        <w:t xml:space="preserve">Joanna Setzer and Catherine Higham, </w:t>
      </w:r>
      <w:r w:rsidRPr="00BF3409">
        <w:rPr>
          <w:rFonts w:ascii="Times New Roman" w:hAnsi="Times New Roman" w:cs="Times New Roman"/>
          <w:i/>
          <w:iCs/>
          <w:color w:val="000000" w:themeColor="text1"/>
          <w:sz w:val="18"/>
          <w:szCs w:val="18"/>
        </w:rPr>
        <w:t xml:space="preserve">Global Trends in Climate Change Litigation: 2024 Snapshot </w:t>
      </w:r>
      <w:r w:rsidRPr="00BF3409">
        <w:rPr>
          <w:rFonts w:ascii="Times New Roman" w:hAnsi="Times New Roman" w:cs="Times New Roman"/>
          <w:color w:val="000000" w:themeColor="text1"/>
          <w:sz w:val="18"/>
          <w:szCs w:val="18"/>
        </w:rPr>
        <w:t>(</w:t>
      </w:r>
      <w:r w:rsidR="00983032" w:rsidRPr="00BF3409">
        <w:rPr>
          <w:rFonts w:ascii="Times New Roman" w:hAnsi="Times New Roman" w:cs="Times New Roman"/>
          <w:color w:val="000000" w:themeColor="text1"/>
          <w:sz w:val="18"/>
          <w:szCs w:val="18"/>
        </w:rPr>
        <w:t xml:space="preserve">London: </w:t>
      </w:r>
      <w:r w:rsidRPr="00BF3409">
        <w:rPr>
          <w:rFonts w:ascii="Times New Roman" w:hAnsi="Times New Roman" w:cs="Times New Roman"/>
          <w:color w:val="000000" w:themeColor="text1"/>
          <w:sz w:val="18"/>
          <w:szCs w:val="18"/>
        </w:rPr>
        <w:t>Grantham Research Institute on Climate Change and the Environment, London School of Economics and Political Science, 2024) https://www.lse.ac.uk/granthaminstitute/publication/global-trends-in-climate-change-litigation-2024-snapshot/ accessed 15 June 2025.</w:t>
      </w:r>
    </w:p>
  </w:footnote>
  <w:footnote w:id="77">
    <w:p w14:paraId="0C986A33" w14:textId="74799176"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Victor Contreras Kong and </w:t>
      </w:r>
      <w:proofErr w:type="spellStart"/>
      <w:r w:rsidRPr="00BF3409">
        <w:rPr>
          <w:rFonts w:ascii="Times New Roman" w:hAnsi="Times New Roman" w:cs="Times New Roman"/>
          <w:color w:val="000000" w:themeColor="text1"/>
          <w:sz w:val="18"/>
          <w:szCs w:val="18"/>
        </w:rPr>
        <w:t>Ebbe</w:t>
      </w:r>
      <w:proofErr w:type="spellEnd"/>
      <w:r w:rsidRPr="00BF3409">
        <w:rPr>
          <w:rFonts w:ascii="Times New Roman" w:hAnsi="Times New Roman" w:cs="Times New Roman"/>
          <w:color w:val="000000" w:themeColor="text1"/>
          <w:sz w:val="18"/>
          <w:szCs w:val="18"/>
        </w:rPr>
        <w:t xml:space="preserve"> Rogge, ‘Sustainability-linked </w:t>
      </w:r>
      <w:r w:rsidR="00BD2F0A" w:rsidRPr="00BF3409">
        <w:rPr>
          <w:rFonts w:ascii="Times New Roman" w:hAnsi="Times New Roman" w:cs="Times New Roman"/>
          <w:color w:val="000000" w:themeColor="text1"/>
          <w:sz w:val="18"/>
          <w:szCs w:val="18"/>
        </w:rPr>
        <w:t>Products</w:t>
      </w:r>
      <w:r w:rsidRPr="00BF3409">
        <w:rPr>
          <w:rFonts w:ascii="Times New Roman" w:hAnsi="Times New Roman" w:cs="Times New Roman"/>
          <w:color w:val="000000" w:themeColor="text1"/>
          <w:sz w:val="18"/>
          <w:szCs w:val="18"/>
        </w:rPr>
        <w:t xml:space="preserve">: </w:t>
      </w:r>
      <w:r w:rsidR="00BD2F0A" w:rsidRPr="00BF3409">
        <w:rPr>
          <w:rFonts w:ascii="Times New Roman" w:hAnsi="Times New Roman" w:cs="Times New Roman"/>
          <w:color w:val="000000" w:themeColor="text1"/>
          <w:sz w:val="18"/>
          <w:szCs w:val="18"/>
        </w:rPr>
        <w:t xml:space="preserve">International Private Law Standards’ </w:t>
      </w:r>
      <w:r w:rsidRPr="00BF3409">
        <w:rPr>
          <w:rFonts w:ascii="Times New Roman" w:hAnsi="Times New Roman" w:cs="Times New Roman"/>
          <w:color w:val="000000" w:themeColor="text1"/>
          <w:sz w:val="18"/>
          <w:szCs w:val="18"/>
        </w:rPr>
        <w:t xml:space="preserve">(2024) 39(2) </w:t>
      </w:r>
      <w:r w:rsidRPr="00BF3409">
        <w:rPr>
          <w:rFonts w:ascii="Times New Roman" w:hAnsi="Times New Roman" w:cs="Times New Roman"/>
          <w:i/>
          <w:iCs/>
          <w:color w:val="000000" w:themeColor="text1"/>
          <w:sz w:val="18"/>
          <w:szCs w:val="18"/>
        </w:rPr>
        <w:t>Journal of International Banking Law and Regulation</w:t>
      </w:r>
      <w:r w:rsidRPr="00BF3409">
        <w:rPr>
          <w:rFonts w:ascii="Times New Roman" w:hAnsi="Times New Roman" w:cs="Times New Roman"/>
          <w:color w:val="000000" w:themeColor="text1"/>
          <w:sz w:val="18"/>
          <w:szCs w:val="18"/>
        </w:rPr>
        <w:t xml:space="preserve"> 55, 55–63.</w:t>
      </w:r>
    </w:p>
  </w:footnote>
  <w:footnote w:id="78">
    <w:p w14:paraId="2EC23A3E" w14:textId="76CE576C"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Elia Cerrato García and Federica Agostini, ‘The Green Bonds Market in the Light of European Commission’s Proposal: Implications for Greenwashing Liability’ in David Ramos Muñoz and Agnieszka </w:t>
      </w:r>
      <w:proofErr w:type="spellStart"/>
      <w:r w:rsidRPr="00BF3409">
        <w:rPr>
          <w:rFonts w:ascii="Times New Roman" w:hAnsi="Times New Roman" w:cs="Times New Roman"/>
          <w:sz w:val="18"/>
          <w:szCs w:val="18"/>
        </w:rPr>
        <w:t>Smoleńska</w:t>
      </w:r>
      <w:proofErr w:type="spellEnd"/>
      <w:r w:rsidRPr="00BF3409">
        <w:rPr>
          <w:rFonts w:ascii="Times New Roman" w:hAnsi="Times New Roman" w:cs="Times New Roman"/>
          <w:sz w:val="18"/>
          <w:szCs w:val="18"/>
        </w:rPr>
        <w:t xml:space="preserve"> (eds), </w:t>
      </w:r>
      <w:r w:rsidRPr="00BF3409">
        <w:rPr>
          <w:rFonts w:ascii="Times New Roman" w:hAnsi="Times New Roman" w:cs="Times New Roman"/>
          <w:i/>
          <w:iCs/>
          <w:sz w:val="18"/>
          <w:szCs w:val="18"/>
        </w:rPr>
        <w:t xml:space="preserve">Greening the Bond Market: A European Perspective </w:t>
      </w:r>
      <w:r w:rsidRPr="00BF3409">
        <w:rPr>
          <w:rFonts w:ascii="Times New Roman" w:hAnsi="Times New Roman" w:cs="Times New Roman"/>
          <w:sz w:val="18"/>
          <w:szCs w:val="18"/>
        </w:rPr>
        <w:t>(</w:t>
      </w:r>
      <w:r w:rsidR="00BD2F0A" w:rsidRPr="00BF3409">
        <w:rPr>
          <w:rFonts w:ascii="Times New Roman" w:hAnsi="Times New Roman" w:cs="Times New Roman"/>
          <w:sz w:val="18"/>
          <w:szCs w:val="18"/>
        </w:rPr>
        <w:t xml:space="preserve">Cham: </w:t>
      </w:r>
      <w:r w:rsidRPr="00BF3409">
        <w:rPr>
          <w:rFonts w:ascii="Times New Roman" w:hAnsi="Times New Roman" w:cs="Times New Roman"/>
          <w:sz w:val="18"/>
          <w:szCs w:val="18"/>
        </w:rPr>
        <w:t>Palgrave Macmillan, 2023) 127–174.</w:t>
      </w:r>
    </w:p>
  </w:footnote>
  <w:footnote w:id="79">
    <w:p w14:paraId="1DBBFAE9" w14:textId="64FCB84D"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Agostini, n. 9, p. 167.</w:t>
      </w:r>
    </w:p>
  </w:footnote>
  <w:footnote w:id="80">
    <w:p w14:paraId="00A1644E" w14:textId="3CC6F524" w:rsidR="009F215F" w:rsidRPr="00BF3409" w:rsidRDefault="009F215F"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t>
      </w:r>
      <w:r w:rsidR="00BD2F0A" w:rsidRPr="00BF3409">
        <w:rPr>
          <w:rFonts w:ascii="Times New Roman" w:hAnsi="Times New Roman" w:cs="Times New Roman"/>
          <w:color w:val="000000" w:themeColor="text1"/>
          <w:sz w:val="18"/>
          <w:szCs w:val="18"/>
        </w:rPr>
        <w:t>For</w:t>
      </w:r>
      <w:r w:rsidRPr="00BF3409">
        <w:rPr>
          <w:rFonts w:ascii="Times New Roman" w:hAnsi="Times New Roman" w:cs="Times New Roman"/>
          <w:color w:val="000000" w:themeColor="text1"/>
          <w:sz w:val="18"/>
          <w:szCs w:val="18"/>
        </w:rPr>
        <w:t xml:space="preserve"> the US context</w:t>
      </w:r>
      <w:r w:rsidR="00BD2F0A" w:rsidRPr="00BF3409">
        <w:rPr>
          <w:rFonts w:ascii="Times New Roman" w:hAnsi="Times New Roman" w:cs="Times New Roman"/>
          <w:color w:val="000000" w:themeColor="text1"/>
          <w:sz w:val="18"/>
          <w:szCs w:val="18"/>
        </w:rPr>
        <w:t xml:space="preserve">, see e.g. </w:t>
      </w:r>
      <w:r w:rsidRPr="00BF3409">
        <w:rPr>
          <w:rFonts w:ascii="Times New Roman" w:hAnsi="Times New Roman" w:cs="Times New Roman"/>
          <w:color w:val="000000" w:themeColor="text1"/>
          <w:sz w:val="18"/>
          <w:szCs w:val="18"/>
        </w:rPr>
        <w:t>Motoko Aizawa, ‘Reflections on Legal Issues Associated with Green Bonds: A Reflection by Climate Bonds Senior Fellow Motoko Aizawa from Our NYC Legal Workshop’ (Climate Bonds Initiative, 5 May 2015) https://www.climatebonds.net/2015/05/reflections-legal-issues-associated-green-bonds-reflection-climate-bonds-senior-fellow</w:t>
      </w:r>
      <w:r w:rsidR="00BD2F0A"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accessed 8 July 2024.</w:t>
      </w:r>
    </w:p>
  </w:footnote>
  <w:footnote w:id="81">
    <w:p w14:paraId="7C6089C5" w14:textId="37B7489C" w:rsidR="008B50D1" w:rsidRPr="00BF3409" w:rsidRDefault="008B50D1" w:rsidP="00E118C3">
      <w:pPr>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Park, n. 9. </w:t>
      </w:r>
    </w:p>
  </w:footnote>
  <w:footnote w:id="82">
    <w:p w14:paraId="43FC99A9" w14:textId="1E2336B4"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Iris H‑Y Chiu, ‘Disclosure Regulation and Sustainability: Legislation and Governance Implications’ in </w:t>
      </w:r>
      <w:proofErr w:type="spellStart"/>
      <w:r w:rsidRPr="00BF3409">
        <w:rPr>
          <w:rFonts w:ascii="Times New Roman" w:hAnsi="Times New Roman" w:cs="Times New Roman"/>
          <w:sz w:val="18"/>
          <w:szCs w:val="18"/>
        </w:rPr>
        <w:t>Beate</w:t>
      </w:r>
      <w:proofErr w:type="spellEnd"/>
      <w:r w:rsidRPr="00BF3409">
        <w:rPr>
          <w:rFonts w:ascii="Times New Roman" w:hAnsi="Times New Roman" w:cs="Times New Roman"/>
          <w:sz w:val="18"/>
          <w:szCs w:val="18"/>
        </w:rPr>
        <w:t xml:space="preserve"> </w:t>
      </w:r>
      <w:proofErr w:type="spellStart"/>
      <w:r w:rsidRPr="00BF3409">
        <w:rPr>
          <w:rFonts w:ascii="Times New Roman" w:hAnsi="Times New Roman" w:cs="Times New Roman"/>
          <w:sz w:val="18"/>
          <w:szCs w:val="18"/>
        </w:rPr>
        <w:t>Sjåfjell</w:t>
      </w:r>
      <w:proofErr w:type="spellEnd"/>
      <w:r w:rsidRPr="00BF3409">
        <w:rPr>
          <w:rFonts w:ascii="Times New Roman" w:hAnsi="Times New Roman" w:cs="Times New Roman"/>
          <w:sz w:val="18"/>
          <w:szCs w:val="18"/>
        </w:rPr>
        <w:t xml:space="preserve"> and Christopher M Bruner (eds), </w:t>
      </w:r>
      <w:r w:rsidRPr="00BF3409">
        <w:rPr>
          <w:rFonts w:ascii="Times New Roman" w:hAnsi="Times New Roman" w:cs="Times New Roman"/>
          <w:i/>
          <w:iCs/>
          <w:sz w:val="18"/>
          <w:szCs w:val="18"/>
        </w:rPr>
        <w:t>The Cambridge Handbook of Corporate Law, Corporate Governance and Sustainability</w:t>
      </w:r>
      <w:r w:rsidRPr="00BF3409">
        <w:rPr>
          <w:rFonts w:ascii="Times New Roman" w:hAnsi="Times New Roman" w:cs="Times New Roman"/>
          <w:sz w:val="18"/>
          <w:szCs w:val="18"/>
        </w:rPr>
        <w:t xml:space="preserve"> (</w:t>
      </w:r>
      <w:r w:rsidR="00BD2F0A" w:rsidRPr="00BF3409">
        <w:rPr>
          <w:rFonts w:ascii="Times New Roman" w:hAnsi="Times New Roman" w:cs="Times New Roman"/>
          <w:sz w:val="18"/>
          <w:szCs w:val="18"/>
        </w:rPr>
        <w:t xml:space="preserve">Cambridge: </w:t>
      </w:r>
      <w:r w:rsidRPr="00BF3409">
        <w:rPr>
          <w:rFonts w:ascii="Times New Roman" w:hAnsi="Times New Roman" w:cs="Times New Roman"/>
          <w:sz w:val="18"/>
          <w:szCs w:val="18"/>
        </w:rPr>
        <w:t>Cambridge University Press, 2019) 521–535</w:t>
      </w:r>
      <w:r w:rsidR="00BD2F0A" w:rsidRPr="00BF3409">
        <w:rPr>
          <w:rFonts w:ascii="Times New Roman" w:hAnsi="Times New Roman" w:cs="Times New Roman"/>
          <w:sz w:val="18"/>
          <w:szCs w:val="18"/>
        </w:rPr>
        <w:t xml:space="preserve">; </w:t>
      </w:r>
      <w:r w:rsidRPr="00BF3409">
        <w:rPr>
          <w:rFonts w:ascii="Times New Roman" w:hAnsi="Times New Roman" w:cs="Times New Roman"/>
          <w:sz w:val="18"/>
          <w:szCs w:val="18"/>
        </w:rPr>
        <w:t xml:space="preserve">Virginia Harper Ho, ‘Climate Disclosure Line-Drawing and Securities Regulation’ (2023) 56 </w:t>
      </w:r>
      <w:r w:rsidRPr="00BF3409">
        <w:rPr>
          <w:rFonts w:ascii="Times New Roman" w:hAnsi="Times New Roman" w:cs="Times New Roman"/>
          <w:i/>
          <w:iCs/>
          <w:sz w:val="18"/>
          <w:szCs w:val="18"/>
        </w:rPr>
        <w:t>UC Davis Law Review</w:t>
      </w:r>
      <w:r w:rsidRPr="00BF3409">
        <w:rPr>
          <w:rFonts w:ascii="Times New Roman" w:hAnsi="Times New Roman" w:cs="Times New Roman"/>
          <w:sz w:val="18"/>
          <w:szCs w:val="18"/>
        </w:rPr>
        <w:t xml:space="preserve"> 1875.</w:t>
      </w:r>
    </w:p>
  </w:footnote>
  <w:footnote w:id="83">
    <w:p w14:paraId="749A4560" w14:textId="065C4DD3"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George G </w:t>
      </w:r>
      <w:proofErr w:type="spellStart"/>
      <w:r w:rsidRPr="00BF3409">
        <w:rPr>
          <w:rFonts w:ascii="Times New Roman" w:hAnsi="Times New Roman" w:cs="Times New Roman"/>
          <w:color w:val="000000" w:themeColor="text1"/>
          <w:sz w:val="18"/>
          <w:szCs w:val="18"/>
        </w:rPr>
        <w:t>Trantis</w:t>
      </w:r>
      <w:proofErr w:type="spellEnd"/>
      <w:r w:rsidRPr="00BF3409">
        <w:rPr>
          <w:rFonts w:ascii="Times New Roman" w:hAnsi="Times New Roman" w:cs="Times New Roman"/>
          <w:color w:val="000000" w:themeColor="text1"/>
          <w:sz w:val="18"/>
          <w:szCs w:val="18"/>
        </w:rPr>
        <w:t xml:space="preserve"> and Ronald J Daniels, ‘The Role of Debt in Interactive Corporate Governance’ (1995) 83 </w:t>
      </w:r>
      <w:r w:rsidRPr="00BF3409">
        <w:rPr>
          <w:rFonts w:ascii="Times New Roman" w:hAnsi="Times New Roman" w:cs="Times New Roman"/>
          <w:i/>
          <w:iCs/>
          <w:color w:val="000000" w:themeColor="text1"/>
          <w:sz w:val="18"/>
          <w:szCs w:val="18"/>
        </w:rPr>
        <w:t>California Law Review</w:t>
      </w:r>
      <w:r w:rsidRPr="00BF3409">
        <w:rPr>
          <w:rFonts w:ascii="Times New Roman" w:hAnsi="Times New Roman" w:cs="Times New Roman"/>
          <w:color w:val="000000" w:themeColor="text1"/>
          <w:sz w:val="18"/>
          <w:szCs w:val="18"/>
        </w:rPr>
        <w:t xml:space="preserve"> 1073, 1079. </w:t>
      </w:r>
    </w:p>
  </w:footnote>
  <w:footnote w:id="84">
    <w:p w14:paraId="3A71E765" w14:textId="47F66AB6"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r w:rsidRPr="00BF3409">
        <w:rPr>
          <w:rFonts w:ascii="Times New Roman" w:hAnsi="Times New Roman" w:cs="Times New Roman"/>
          <w:color w:val="000000" w:themeColor="text1"/>
          <w:sz w:val="18"/>
          <w:szCs w:val="18"/>
        </w:rPr>
        <w:t xml:space="preserve">This is the same documentation </w:t>
      </w:r>
      <w:r w:rsidR="001E199A" w:rsidRPr="00BF3409">
        <w:rPr>
          <w:rFonts w:ascii="Times New Roman" w:hAnsi="Times New Roman" w:cs="Times New Roman"/>
          <w:color w:val="000000" w:themeColor="text1"/>
          <w:sz w:val="18"/>
          <w:szCs w:val="18"/>
        </w:rPr>
        <w:t xml:space="preserve">that is </w:t>
      </w:r>
      <w:r w:rsidRPr="00BF3409">
        <w:rPr>
          <w:rFonts w:ascii="Times New Roman" w:hAnsi="Times New Roman" w:cs="Times New Roman"/>
          <w:color w:val="000000" w:themeColor="text1"/>
          <w:sz w:val="18"/>
          <w:szCs w:val="18"/>
        </w:rPr>
        <w:t>already available on the issuer’s website (i.e. GBFs and corresponding SPO).</w:t>
      </w:r>
    </w:p>
  </w:footnote>
  <w:footnote w:id="85">
    <w:p w14:paraId="72BFBEE1" w14:textId="3F25481D"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For a discussion on how this may amount to informational regulation</w:t>
      </w:r>
      <w:r w:rsidR="001E199A"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see Oren Perez, ‘Private Environmental Governance as Ensemble Regulation: A Critical Exploration of Sustainability Indexes and the New Ensemble Politics’ 12 </w:t>
      </w:r>
      <w:r w:rsidRPr="00BF3409">
        <w:rPr>
          <w:rFonts w:ascii="Times New Roman" w:hAnsi="Times New Roman" w:cs="Times New Roman"/>
          <w:i/>
          <w:iCs/>
          <w:color w:val="000000" w:themeColor="text1"/>
          <w:sz w:val="18"/>
          <w:szCs w:val="18"/>
        </w:rPr>
        <w:t>Theoretical Inquiries in Law</w:t>
      </w:r>
      <w:r w:rsidRPr="00BF3409">
        <w:rPr>
          <w:rFonts w:ascii="Times New Roman" w:hAnsi="Times New Roman" w:cs="Times New Roman"/>
          <w:color w:val="000000" w:themeColor="text1"/>
          <w:sz w:val="18"/>
          <w:szCs w:val="18"/>
        </w:rPr>
        <w:t xml:space="preserve"> (2011) 2, 543</w:t>
      </w:r>
      <w:r w:rsidR="001E199A"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 xml:space="preserve">Stephen Park, ‘Green Bonds and Beyond: Debt Financing as a Sustainability Driver’ in </w:t>
      </w:r>
      <w:proofErr w:type="spellStart"/>
      <w:r w:rsidRPr="00BF3409">
        <w:rPr>
          <w:rFonts w:ascii="Times New Roman" w:hAnsi="Times New Roman" w:cs="Times New Roman"/>
          <w:color w:val="000000" w:themeColor="text1"/>
          <w:sz w:val="18"/>
          <w:szCs w:val="18"/>
        </w:rPr>
        <w:t>Beate</w:t>
      </w:r>
      <w:proofErr w:type="spellEnd"/>
      <w:r w:rsidRPr="00BF3409">
        <w:rPr>
          <w:rFonts w:ascii="Times New Roman" w:hAnsi="Times New Roman" w:cs="Times New Roman"/>
          <w:color w:val="000000" w:themeColor="text1"/>
          <w:sz w:val="18"/>
          <w:szCs w:val="18"/>
        </w:rPr>
        <w:t xml:space="preserve"> </w:t>
      </w:r>
      <w:proofErr w:type="spellStart"/>
      <w:r w:rsidRPr="00BF3409">
        <w:rPr>
          <w:rFonts w:ascii="Times New Roman" w:hAnsi="Times New Roman" w:cs="Times New Roman"/>
          <w:color w:val="000000" w:themeColor="text1"/>
          <w:sz w:val="18"/>
          <w:szCs w:val="18"/>
        </w:rPr>
        <w:t>Sjåfjell</w:t>
      </w:r>
      <w:proofErr w:type="spellEnd"/>
      <w:r w:rsidRPr="00BF3409">
        <w:rPr>
          <w:rFonts w:ascii="Times New Roman" w:hAnsi="Times New Roman" w:cs="Times New Roman"/>
          <w:color w:val="000000" w:themeColor="text1"/>
          <w:sz w:val="18"/>
          <w:szCs w:val="18"/>
        </w:rPr>
        <w:t xml:space="preserve"> and Christopher M. Bruner (eds), </w:t>
      </w:r>
      <w:r w:rsidRPr="00BF3409">
        <w:rPr>
          <w:rFonts w:ascii="Times New Roman" w:hAnsi="Times New Roman" w:cs="Times New Roman"/>
          <w:i/>
          <w:iCs/>
          <w:color w:val="000000" w:themeColor="text1"/>
          <w:sz w:val="18"/>
          <w:szCs w:val="18"/>
        </w:rPr>
        <w:t>Cambridge Handbook of Corporate Law, Corporate Governance and Sustainability</w:t>
      </w:r>
      <w:r w:rsidRPr="00BF3409">
        <w:rPr>
          <w:rFonts w:ascii="Times New Roman" w:hAnsi="Times New Roman" w:cs="Times New Roman"/>
          <w:color w:val="000000" w:themeColor="text1"/>
          <w:sz w:val="18"/>
          <w:szCs w:val="18"/>
        </w:rPr>
        <w:t xml:space="preserve"> (</w:t>
      </w:r>
      <w:r w:rsidR="001E199A" w:rsidRPr="00BF3409">
        <w:rPr>
          <w:rFonts w:ascii="Times New Roman" w:hAnsi="Times New Roman" w:cs="Times New Roman"/>
          <w:color w:val="000000" w:themeColor="text1"/>
          <w:sz w:val="18"/>
          <w:szCs w:val="18"/>
        </w:rPr>
        <w:t xml:space="preserve">Cambridge: </w:t>
      </w:r>
      <w:r w:rsidRPr="00BF3409">
        <w:rPr>
          <w:rFonts w:ascii="Times New Roman" w:hAnsi="Times New Roman" w:cs="Times New Roman"/>
          <w:color w:val="000000" w:themeColor="text1"/>
          <w:sz w:val="18"/>
          <w:szCs w:val="18"/>
        </w:rPr>
        <w:t>Cambridge University Press, 2019).</w:t>
      </w:r>
    </w:p>
  </w:footnote>
  <w:footnote w:id="86">
    <w:p w14:paraId="410AB9AC" w14:textId="5F913823"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t>
      </w:r>
      <w:r w:rsidR="001E199A" w:rsidRPr="00BF3409">
        <w:rPr>
          <w:rFonts w:ascii="Times New Roman" w:hAnsi="Times New Roman" w:cs="Times New Roman"/>
          <w:color w:val="000000" w:themeColor="text1"/>
          <w:sz w:val="18"/>
          <w:szCs w:val="18"/>
        </w:rPr>
        <w:t xml:space="preserve">The </w:t>
      </w:r>
      <w:r w:rsidRPr="00BF3409">
        <w:rPr>
          <w:rFonts w:ascii="Times New Roman" w:hAnsi="Times New Roman" w:cs="Times New Roman"/>
          <w:color w:val="000000" w:themeColor="text1"/>
          <w:sz w:val="18"/>
          <w:szCs w:val="18"/>
        </w:rPr>
        <w:t xml:space="preserve">Sustainable Finance Disclosure Regulation (SFDR) introduces </w:t>
      </w:r>
      <w:r w:rsidR="001E199A" w:rsidRPr="00BF3409">
        <w:rPr>
          <w:rFonts w:ascii="Times New Roman" w:hAnsi="Times New Roman" w:cs="Times New Roman"/>
          <w:color w:val="000000" w:themeColor="text1"/>
          <w:sz w:val="18"/>
          <w:szCs w:val="18"/>
        </w:rPr>
        <w:t xml:space="preserve">a </w:t>
      </w:r>
      <w:r w:rsidRPr="00BF3409">
        <w:rPr>
          <w:rFonts w:ascii="Times New Roman" w:hAnsi="Times New Roman" w:cs="Times New Roman"/>
          <w:color w:val="000000" w:themeColor="text1"/>
          <w:sz w:val="18"/>
          <w:szCs w:val="18"/>
        </w:rPr>
        <w:t xml:space="preserve">mandatory disclosure regime for sustainable financial products in the EU. SFDR establishes different disclosure regimes for different types of products as regards their sustainability impact. While not a sustainability regime in </w:t>
      </w:r>
      <w:r w:rsidR="001E199A" w:rsidRPr="00BF3409">
        <w:rPr>
          <w:rFonts w:ascii="Times New Roman" w:hAnsi="Times New Roman" w:cs="Times New Roman"/>
          <w:color w:val="000000" w:themeColor="text1"/>
          <w:sz w:val="18"/>
          <w:szCs w:val="18"/>
        </w:rPr>
        <w:t xml:space="preserve">the </w:t>
      </w:r>
      <w:r w:rsidRPr="00BF3409">
        <w:rPr>
          <w:rFonts w:ascii="Times New Roman" w:hAnsi="Times New Roman" w:cs="Times New Roman"/>
          <w:color w:val="000000" w:themeColor="text1"/>
          <w:sz w:val="18"/>
          <w:szCs w:val="18"/>
        </w:rPr>
        <w:t>narrow sense, the SFDR differentiates between products that have some environmental and social characteristics (Art. 8 products) and those that actively promote sustainability objectives (Art. 9 products</w:t>
      </w:r>
      <w:r w:rsidR="001E199A" w:rsidRPr="00BF3409">
        <w:rPr>
          <w:rFonts w:ascii="Times New Roman" w:hAnsi="Times New Roman" w:cs="Times New Roman"/>
          <w:color w:val="000000" w:themeColor="text1"/>
          <w:sz w:val="18"/>
          <w:szCs w:val="18"/>
        </w:rPr>
        <w:t xml:space="preserve">) – </w:t>
      </w:r>
      <w:r w:rsidRPr="00BF3409">
        <w:rPr>
          <w:rFonts w:ascii="Times New Roman" w:hAnsi="Times New Roman" w:cs="Times New Roman"/>
          <w:color w:val="000000" w:themeColor="text1"/>
          <w:sz w:val="18"/>
          <w:szCs w:val="18"/>
        </w:rPr>
        <w:t>Regulation (EU) 2019/2088 of the European Parliament and of the Council of 27 November 2019 on sustainability‐related disclosures in the financial services sector, OJ L 317, 9</w:t>
      </w:r>
      <w:r w:rsidR="001E199A" w:rsidRPr="00BF3409">
        <w:rPr>
          <w:rFonts w:ascii="Times New Roman" w:hAnsi="Times New Roman" w:cs="Times New Roman"/>
          <w:color w:val="000000" w:themeColor="text1"/>
          <w:sz w:val="18"/>
          <w:szCs w:val="18"/>
        </w:rPr>
        <w:t xml:space="preserve"> December </w:t>
      </w:r>
      <w:r w:rsidRPr="00BF3409">
        <w:rPr>
          <w:rFonts w:ascii="Times New Roman" w:hAnsi="Times New Roman" w:cs="Times New Roman"/>
          <w:color w:val="000000" w:themeColor="text1"/>
          <w:sz w:val="18"/>
          <w:szCs w:val="18"/>
        </w:rPr>
        <w:t>2019, p</w:t>
      </w:r>
      <w:r w:rsidR="001E199A" w:rsidRPr="00BF3409">
        <w:rPr>
          <w:rFonts w:ascii="Times New Roman" w:hAnsi="Times New Roman" w:cs="Times New Roman"/>
          <w:color w:val="000000" w:themeColor="text1"/>
          <w:sz w:val="18"/>
          <w:szCs w:val="18"/>
        </w:rPr>
        <w:t>p</w:t>
      </w:r>
      <w:r w:rsidRPr="00BF3409">
        <w:rPr>
          <w:rFonts w:ascii="Times New Roman" w:hAnsi="Times New Roman" w:cs="Times New Roman"/>
          <w:color w:val="000000" w:themeColor="text1"/>
          <w:sz w:val="18"/>
          <w:szCs w:val="18"/>
        </w:rPr>
        <w:t xml:space="preserve">. 1–16 (‘SFDR’). </w:t>
      </w:r>
    </w:p>
  </w:footnote>
  <w:footnote w:id="87">
    <w:p w14:paraId="34391808" w14:textId="33866CB1"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Ramos Muñoz and </w:t>
      </w:r>
      <w:proofErr w:type="spellStart"/>
      <w:r w:rsidRPr="00BF3409">
        <w:rPr>
          <w:rFonts w:ascii="Times New Roman" w:hAnsi="Times New Roman" w:cs="Times New Roman"/>
          <w:color w:val="000000" w:themeColor="text1"/>
          <w:sz w:val="18"/>
          <w:szCs w:val="18"/>
        </w:rPr>
        <w:t>Smoleńska</w:t>
      </w:r>
      <w:proofErr w:type="spellEnd"/>
      <w:r w:rsidRPr="00BF3409">
        <w:rPr>
          <w:rFonts w:ascii="Times New Roman" w:hAnsi="Times New Roman" w:cs="Times New Roman"/>
          <w:color w:val="000000" w:themeColor="text1"/>
          <w:sz w:val="18"/>
          <w:szCs w:val="18"/>
        </w:rPr>
        <w:t>, n. 2</w:t>
      </w:r>
      <w:r w:rsidR="000900BE" w:rsidRPr="00BF3409">
        <w:rPr>
          <w:rFonts w:ascii="Times New Roman" w:hAnsi="Times New Roman" w:cs="Times New Roman"/>
          <w:color w:val="000000" w:themeColor="text1"/>
          <w:sz w:val="18"/>
          <w:szCs w:val="18"/>
        </w:rPr>
        <w:t>5</w:t>
      </w:r>
      <w:r w:rsidRPr="00BF3409">
        <w:rPr>
          <w:rFonts w:ascii="Times New Roman" w:hAnsi="Times New Roman" w:cs="Times New Roman"/>
          <w:color w:val="000000" w:themeColor="text1"/>
          <w:sz w:val="18"/>
          <w:szCs w:val="18"/>
        </w:rPr>
        <w:t xml:space="preserve">. </w:t>
      </w:r>
    </w:p>
  </w:footnote>
  <w:footnote w:id="88">
    <w:p w14:paraId="48525BC0" w14:textId="5EDC3DA8"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Guy Ritchie and Alistair Marsh, ‘Bankers Seek Legal Cover After Backing $1.5 Trillion of ESG Debt’, 5 November 2023, Bloomberg https://www.bloomberg.com/news/articles/2023-11-05/bankers-seek-legal-cover-after-backing-1-5-trillion-of-esg-debt</w:t>
      </w:r>
      <w:r w:rsidR="001E199A"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accessed 8 July 2024.</w:t>
      </w:r>
    </w:p>
  </w:footnote>
  <w:footnote w:id="89">
    <w:p w14:paraId="6934FA7F" w14:textId="42362C33"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Park, n. 9, p. 608.</w:t>
      </w:r>
    </w:p>
  </w:footnote>
  <w:footnote w:id="90">
    <w:p w14:paraId="307AC3F0" w14:textId="0209F915"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t>
      </w:r>
      <w:proofErr w:type="spellStart"/>
      <w:r w:rsidRPr="00BF3409">
        <w:rPr>
          <w:rFonts w:ascii="Times New Roman" w:hAnsi="Times New Roman" w:cs="Times New Roman"/>
          <w:color w:val="000000" w:themeColor="text1"/>
          <w:sz w:val="18"/>
          <w:szCs w:val="18"/>
        </w:rPr>
        <w:t>Yakov</w:t>
      </w:r>
      <w:proofErr w:type="spellEnd"/>
      <w:r w:rsidRPr="00BF3409">
        <w:rPr>
          <w:rFonts w:ascii="Times New Roman" w:hAnsi="Times New Roman" w:cs="Times New Roman"/>
          <w:color w:val="000000" w:themeColor="text1"/>
          <w:sz w:val="18"/>
          <w:szCs w:val="18"/>
        </w:rPr>
        <w:t xml:space="preserve"> </w:t>
      </w:r>
      <w:proofErr w:type="spellStart"/>
      <w:r w:rsidRPr="00BF3409">
        <w:rPr>
          <w:rFonts w:ascii="Times New Roman" w:hAnsi="Times New Roman" w:cs="Times New Roman"/>
          <w:color w:val="000000" w:themeColor="text1"/>
          <w:sz w:val="18"/>
          <w:szCs w:val="18"/>
        </w:rPr>
        <w:t>Amihud</w:t>
      </w:r>
      <w:proofErr w:type="spellEnd"/>
      <w:r w:rsidRPr="00BF3409">
        <w:rPr>
          <w:rFonts w:ascii="Times New Roman" w:hAnsi="Times New Roman" w:cs="Times New Roman"/>
          <w:color w:val="000000" w:themeColor="text1"/>
          <w:sz w:val="18"/>
          <w:szCs w:val="18"/>
        </w:rPr>
        <w:t xml:space="preserve">, Kenneth </w:t>
      </w:r>
      <w:proofErr w:type="spellStart"/>
      <w:r w:rsidRPr="00BF3409">
        <w:rPr>
          <w:rFonts w:ascii="Times New Roman" w:hAnsi="Times New Roman" w:cs="Times New Roman"/>
          <w:color w:val="000000" w:themeColor="text1"/>
          <w:sz w:val="18"/>
          <w:szCs w:val="18"/>
        </w:rPr>
        <w:t>Garbade</w:t>
      </w:r>
      <w:proofErr w:type="spellEnd"/>
      <w:r w:rsidRPr="00BF3409">
        <w:rPr>
          <w:rFonts w:ascii="Times New Roman" w:hAnsi="Times New Roman" w:cs="Times New Roman"/>
          <w:color w:val="000000" w:themeColor="text1"/>
          <w:sz w:val="18"/>
          <w:szCs w:val="18"/>
        </w:rPr>
        <w:t xml:space="preserve"> and Marcel Kahan, ‘A New Governance Structure for Corporate Bonds’ (1999) 51(3) </w:t>
      </w:r>
      <w:r w:rsidRPr="00BF3409">
        <w:rPr>
          <w:rFonts w:ascii="Times New Roman" w:hAnsi="Times New Roman" w:cs="Times New Roman"/>
          <w:i/>
          <w:iCs/>
          <w:color w:val="000000" w:themeColor="text1"/>
          <w:sz w:val="18"/>
          <w:szCs w:val="18"/>
        </w:rPr>
        <w:t>Stanford Law Review</w:t>
      </w:r>
      <w:r w:rsidRPr="00BF3409">
        <w:rPr>
          <w:rFonts w:ascii="Times New Roman" w:hAnsi="Times New Roman" w:cs="Times New Roman"/>
          <w:color w:val="000000" w:themeColor="text1"/>
          <w:sz w:val="18"/>
          <w:szCs w:val="18"/>
        </w:rPr>
        <w:t xml:space="preserve"> 447.</w:t>
      </w:r>
    </w:p>
  </w:footnote>
  <w:footnote w:id="91">
    <w:p w14:paraId="70BB93F1" w14:textId="155BA489"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See n. 3</w:t>
      </w:r>
      <w:r w:rsidR="000900BE" w:rsidRPr="00BF3409">
        <w:rPr>
          <w:rFonts w:ascii="Times New Roman" w:hAnsi="Times New Roman" w:cs="Times New Roman"/>
          <w:color w:val="000000" w:themeColor="text1"/>
          <w:sz w:val="18"/>
          <w:szCs w:val="18"/>
        </w:rPr>
        <w:t>3</w:t>
      </w:r>
      <w:r w:rsidRPr="00BF3409">
        <w:rPr>
          <w:rFonts w:ascii="Times New Roman" w:hAnsi="Times New Roman" w:cs="Times New Roman"/>
          <w:color w:val="000000" w:themeColor="text1"/>
          <w:sz w:val="18"/>
          <w:szCs w:val="18"/>
        </w:rPr>
        <w:t xml:space="preserve">.  </w:t>
      </w:r>
    </w:p>
  </w:footnote>
  <w:footnote w:id="92">
    <w:p w14:paraId="4F50604E" w14:textId="2F70C45C"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t>
      </w:r>
      <w:proofErr w:type="spellStart"/>
      <w:r w:rsidRPr="00BF3409">
        <w:rPr>
          <w:rFonts w:ascii="Times New Roman" w:hAnsi="Times New Roman" w:cs="Times New Roman"/>
          <w:color w:val="000000" w:themeColor="text1"/>
          <w:sz w:val="18"/>
          <w:szCs w:val="18"/>
        </w:rPr>
        <w:t>Pistor</w:t>
      </w:r>
      <w:proofErr w:type="spellEnd"/>
      <w:r w:rsidRPr="00BF3409">
        <w:rPr>
          <w:rFonts w:ascii="Times New Roman" w:hAnsi="Times New Roman" w:cs="Times New Roman"/>
          <w:color w:val="000000" w:themeColor="text1"/>
          <w:sz w:val="18"/>
          <w:szCs w:val="18"/>
        </w:rPr>
        <w:t>, n. 3</w:t>
      </w:r>
      <w:r w:rsidR="000900BE" w:rsidRPr="00BF3409">
        <w:rPr>
          <w:rFonts w:ascii="Times New Roman" w:hAnsi="Times New Roman" w:cs="Times New Roman"/>
          <w:color w:val="000000" w:themeColor="text1"/>
          <w:sz w:val="18"/>
          <w:szCs w:val="18"/>
        </w:rPr>
        <w:t>5</w:t>
      </w:r>
      <w:r w:rsidR="001E199A" w:rsidRPr="00BF3409">
        <w:rPr>
          <w:rFonts w:ascii="Times New Roman" w:hAnsi="Times New Roman" w:cs="Times New Roman"/>
          <w:color w:val="000000" w:themeColor="text1"/>
          <w:sz w:val="18"/>
          <w:szCs w:val="18"/>
        </w:rPr>
        <w:t xml:space="preserve">. The financial </w:t>
      </w:r>
      <w:r w:rsidRPr="00BF3409">
        <w:rPr>
          <w:rFonts w:ascii="Times New Roman" w:hAnsi="Times New Roman" w:cs="Times New Roman"/>
          <w:color w:val="000000" w:themeColor="text1"/>
          <w:sz w:val="18"/>
          <w:szCs w:val="18"/>
        </w:rPr>
        <w:t>system relies on the ‘public’ nature of money, that is</w:t>
      </w:r>
      <w:r w:rsidR="001E199A"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the different forms of guarantees and public status of money underpinning financial relationships. The hybridity of sustainable finance, however, is even broader. While legal scholars tend to analyse financial regulation in isolated terms, sustainable finance law functions by coupling public transition targets/objectives and individual financing relationships.</w:t>
      </w:r>
    </w:p>
  </w:footnote>
  <w:footnote w:id="93">
    <w:p w14:paraId="066679E3" w14:textId="3C65CCF2"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r w:rsidR="001E199A" w:rsidRPr="00BF3409">
        <w:rPr>
          <w:rFonts w:ascii="Times New Roman" w:hAnsi="Times New Roman" w:cs="Times New Roman"/>
          <w:sz w:val="18"/>
          <w:szCs w:val="18"/>
        </w:rPr>
        <w:t xml:space="preserve">A </w:t>
      </w:r>
      <w:proofErr w:type="spellStart"/>
      <w:r w:rsidR="001E199A" w:rsidRPr="00BF3409">
        <w:rPr>
          <w:rFonts w:ascii="Times New Roman" w:hAnsi="Times New Roman" w:cs="Times New Roman"/>
          <w:sz w:val="18"/>
          <w:szCs w:val="18"/>
        </w:rPr>
        <w:t>macrofinancial</w:t>
      </w:r>
      <w:proofErr w:type="spellEnd"/>
      <w:r w:rsidR="001E199A" w:rsidRPr="00BF3409">
        <w:rPr>
          <w:rFonts w:ascii="Times New Roman" w:hAnsi="Times New Roman" w:cs="Times New Roman"/>
          <w:sz w:val="18"/>
          <w:szCs w:val="18"/>
        </w:rPr>
        <w:t xml:space="preserve"> </w:t>
      </w:r>
      <w:r w:rsidRPr="00BF3409">
        <w:rPr>
          <w:rFonts w:ascii="Times New Roman" w:hAnsi="Times New Roman" w:cs="Times New Roman"/>
          <w:sz w:val="18"/>
          <w:szCs w:val="18"/>
        </w:rPr>
        <w:t xml:space="preserve">regime is defined here as system of policies, institutions and rules that governs the interaction between a </w:t>
      </w:r>
      <w:r w:rsidR="001E199A" w:rsidRPr="00BF3409">
        <w:rPr>
          <w:rFonts w:ascii="Times New Roman" w:hAnsi="Times New Roman" w:cs="Times New Roman"/>
          <w:sz w:val="18"/>
          <w:szCs w:val="18"/>
        </w:rPr>
        <w:t xml:space="preserve">country’s </w:t>
      </w:r>
      <w:r w:rsidRPr="00BF3409">
        <w:rPr>
          <w:rFonts w:ascii="Times New Roman" w:hAnsi="Times New Roman" w:cs="Times New Roman"/>
          <w:sz w:val="18"/>
          <w:szCs w:val="18"/>
        </w:rPr>
        <w:t>macroeconomy (</w:t>
      </w:r>
      <w:r w:rsidR="001E199A" w:rsidRPr="00BF3409">
        <w:rPr>
          <w:rFonts w:ascii="Times New Roman" w:hAnsi="Times New Roman" w:cs="Times New Roman"/>
          <w:sz w:val="18"/>
          <w:szCs w:val="18"/>
        </w:rPr>
        <w:t xml:space="preserve">including </w:t>
      </w:r>
      <w:r w:rsidRPr="00BF3409">
        <w:rPr>
          <w:rFonts w:ascii="Times New Roman" w:hAnsi="Times New Roman" w:cs="Times New Roman"/>
          <w:sz w:val="18"/>
          <w:szCs w:val="18"/>
        </w:rPr>
        <w:t>inflation, growth and employment) and its financial system (including banks, markets and capital flows), shaping how financial and economic stability are maintained over time. See Gabor and Braun, n. 4</w:t>
      </w:r>
      <w:r w:rsidR="0003610B" w:rsidRPr="00BF3409">
        <w:rPr>
          <w:rFonts w:ascii="Times New Roman" w:hAnsi="Times New Roman" w:cs="Times New Roman"/>
          <w:sz w:val="18"/>
          <w:szCs w:val="18"/>
        </w:rPr>
        <w:t>4</w:t>
      </w:r>
      <w:r w:rsidRPr="00BF3409">
        <w:rPr>
          <w:rFonts w:ascii="Times New Roman" w:hAnsi="Times New Roman" w:cs="Times New Roman"/>
          <w:sz w:val="18"/>
          <w:szCs w:val="18"/>
        </w:rPr>
        <w:t xml:space="preserve">. </w:t>
      </w:r>
    </w:p>
  </w:footnote>
  <w:footnote w:id="94">
    <w:p w14:paraId="12B9F94F" w14:textId="67AC2AF5"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Ian MacNeil, ‘ESG as a Case-Study in Legal Uncertainty’ (2024) 29(6) </w:t>
      </w:r>
      <w:r w:rsidRPr="00BF3409">
        <w:rPr>
          <w:rFonts w:ascii="Times New Roman" w:hAnsi="Times New Roman" w:cs="Times New Roman"/>
          <w:i/>
          <w:iCs/>
          <w:color w:val="000000" w:themeColor="text1"/>
          <w:sz w:val="18"/>
          <w:szCs w:val="18"/>
        </w:rPr>
        <w:t>Butterworths Journal of International Banking and Financial Law</w:t>
      </w:r>
      <w:r w:rsidRPr="00BF3409">
        <w:rPr>
          <w:rFonts w:ascii="Times New Roman" w:hAnsi="Times New Roman" w:cs="Times New Roman"/>
          <w:color w:val="000000" w:themeColor="text1"/>
          <w:sz w:val="18"/>
          <w:szCs w:val="18"/>
        </w:rPr>
        <w:t xml:space="preserve"> 406.</w:t>
      </w:r>
    </w:p>
  </w:footnote>
  <w:footnote w:id="95">
    <w:p w14:paraId="796193FE" w14:textId="47D6B089"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r w:rsidR="001E199A" w:rsidRPr="00BF3409">
        <w:rPr>
          <w:rFonts w:ascii="Times New Roman" w:hAnsi="Times New Roman" w:cs="Times New Roman"/>
          <w:sz w:val="18"/>
          <w:szCs w:val="18"/>
        </w:rPr>
        <w:t xml:space="preserve">The </w:t>
      </w:r>
      <w:r w:rsidRPr="00BF3409">
        <w:rPr>
          <w:rFonts w:ascii="Times New Roman" w:hAnsi="Times New Roman" w:cs="Times New Roman"/>
          <w:sz w:val="18"/>
          <w:szCs w:val="18"/>
        </w:rPr>
        <w:t>ESMA report on greenwashing practices</w:t>
      </w:r>
      <w:r w:rsidR="001E199A" w:rsidRPr="00BF3409">
        <w:rPr>
          <w:rFonts w:ascii="Times New Roman" w:hAnsi="Times New Roman" w:cs="Times New Roman"/>
          <w:sz w:val="18"/>
          <w:szCs w:val="18"/>
        </w:rPr>
        <w:t>, for example,</w:t>
      </w:r>
      <w:r w:rsidRPr="00BF3409">
        <w:rPr>
          <w:rFonts w:ascii="Times New Roman" w:hAnsi="Times New Roman" w:cs="Times New Roman"/>
          <w:sz w:val="18"/>
          <w:szCs w:val="18"/>
        </w:rPr>
        <w:t xml:space="preserve"> draws attention to the few cases of enforcement in the EU so far, but also the possible avenues for such enforcement, including via authorisation of green bond prospectuses</w:t>
      </w:r>
      <w:r w:rsidR="001E199A" w:rsidRPr="00BF3409">
        <w:rPr>
          <w:rFonts w:ascii="Times New Roman" w:hAnsi="Times New Roman" w:cs="Times New Roman"/>
          <w:sz w:val="18"/>
          <w:szCs w:val="18"/>
        </w:rPr>
        <w:t xml:space="preserve"> – </w:t>
      </w:r>
      <w:r w:rsidRPr="00BF3409">
        <w:rPr>
          <w:rFonts w:ascii="Times New Roman" w:hAnsi="Times New Roman" w:cs="Times New Roman"/>
          <w:sz w:val="18"/>
          <w:szCs w:val="18"/>
        </w:rPr>
        <w:t>European Securities and Markets Authority, Final Report on Greenwashing (ESMA36‑287652198‑2699, 4 June 2024).</w:t>
      </w:r>
    </w:p>
  </w:footnote>
  <w:footnote w:id="96">
    <w:p w14:paraId="2C4C5099" w14:textId="6D5829D4"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European Securities and Markets Authority, ‘Public Statement on Sustainability Disclosure in Prospectuses’ (Public Statement, ESMA32‑1399193447‑441, 11 July 2023).</w:t>
      </w:r>
    </w:p>
  </w:footnote>
  <w:footnote w:id="97">
    <w:p w14:paraId="5945427E" w14:textId="48029E64"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Agnieszka </w:t>
      </w:r>
      <w:proofErr w:type="spellStart"/>
      <w:r w:rsidRPr="00BF3409">
        <w:rPr>
          <w:rFonts w:ascii="Times New Roman" w:hAnsi="Times New Roman" w:cs="Times New Roman"/>
          <w:sz w:val="18"/>
          <w:szCs w:val="18"/>
        </w:rPr>
        <w:t>Smoleńska</w:t>
      </w:r>
      <w:proofErr w:type="spellEnd"/>
      <w:r w:rsidRPr="00BF3409">
        <w:rPr>
          <w:rFonts w:ascii="Times New Roman" w:hAnsi="Times New Roman" w:cs="Times New Roman"/>
          <w:sz w:val="18"/>
          <w:szCs w:val="18"/>
        </w:rPr>
        <w:t xml:space="preserve"> and Jens van ’t </w:t>
      </w:r>
      <w:proofErr w:type="spellStart"/>
      <w:r w:rsidRPr="00BF3409">
        <w:rPr>
          <w:rFonts w:ascii="Times New Roman" w:hAnsi="Times New Roman" w:cs="Times New Roman"/>
          <w:sz w:val="18"/>
          <w:szCs w:val="18"/>
        </w:rPr>
        <w:t>Klooster</w:t>
      </w:r>
      <w:proofErr w:type="spellEnd"/>
      <w:r w:rsidRPr="00BF3409">
        <w:rPr>
          <w:rFonts w:ascii="Times New Roman" w:hAnsi="Times New Roman" w:cs="Times New Roman"/>
          <w:sz w:val="18"/>
          <w:szCs w:val="18"/>
        </w:rPr>
        <w:t xml:space="preserve">, ‘A Risky Bet: Climate Change and the EU’s </w:t>
      </w:r>
      <w:proofErr w:type="spellStart"/>
      <w:r w:rsidRPr="00BF3409">
        <w:rPr>
          <w:rFonts w:ascii="Times New Roman" w:hAnsi="Times New Roman" w:cs="Times New Roman"/>
          <w:sz w:val="18"/>
          <w:szCs w:val="18"/>
        </w:rPr>
        <w:t>Microprudential</w:t>
      </w:r>
      <w:proofErr w:type="spellEnd"/>
      <w:r w:rsidRPr="00BF3409">
        <w:rPr>
          <w:rFonts w:ascii="Times New Roman" w:hAnsi="Times New Roman" w:cs="Times New Roman"/>
          <w:sz w:val="18"/>
          <w:szCs w:val="18"/>
        </w:rPr>
        <w:t xml:space="preserve"> Framework for Banks’ (2022) 8(1) </w:t>
      </w:r>
      <w:r w:rsidRPr="00BF3409">
        <w:rPr>
          <w:rFonts w:ascii="Times New Roman" w:hAnsi="Times New Roman" w:cs="Times New Roman"/>
          <w:i/>
          <w:iCs/>
          <w:sz w:val="18"/>
          <w:szCs w:val="18"/>
        </w:rPr>
        <w:t>Journal of Financial Regulation</w:t>
      </w:r>
      <w:r w:rsidRPr="00BF3409">
        <w:rPr>
          <w:rFonts w:ascii="Times New Roman" w:hAnsi="Times New Roman" w:cs="Times New Roman"/>
          <w:sz w:val="18"/>
          <w:szCs w:val="18"/>
        </w:rPr>
        <w:t xml:space="preserve"> 51, 51–74.</w:t>
      </w:r>
    </w:p>
  </w:footnote>
  <w:footnote w:id="98">
    <w:p w14:paraId="6F486227" w14:textId="22026128"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Guideline (EU) 2022/987 of the European Central Bank of 2 May 2022 amending Guideline (EU) 2015/510 on the implementation of the </w:t>
      </w:r>
      <w:proofErr w:type="spellStart"/>
      <w:r w:rsidRPr="00BF3409">
        <w:rPr>
          <w:rFonts w:ascii="Times New Roman" w:hAnsi="Times New Roman" w:cs="Times New Roman"/>
          <w:color w:val="000000" w:themeColor="text1"/>
          <w:sz w:val="18"/>
          <w:szCs w:val="18"/>
        </w:rPr>
        <w:t>Eurosystem</w:t>
      </w:r>
      <w:proofErr w:type="spellEnd"/>
      <w:r w:rsidRPr="00BF3409">
        <w:rPr>
          <w:rFonts w:ascii="Times New Roman" w:hAnsi="Times New Roman" w:cs="Times New Roman"/>
          <w:color w:val="000000" w:themeColor="text1"/>
          <w:sz w:val="18"/>
          <w:szCs w:val="18"/>
        </w:rPr>
        <w:t xml:space="preserve"> monetary policy framework, OJ L 167, 24</w:t>
      </w:r>
      <w:r w:rsidR="001E199A" w:rsidRPr="00BF3409">
        <w:rPr>
          <w:rFonts w:ascii="Times New Roman" w:hAnsi="Times New Roman" w:cs="Times New Roman"/>
          <w:color w:val="000000" w:themeColor="text1"/>
          <w:sz w:val="18"/>
          <w:szCs w:val="18"/>
        </w:rPr>
        <w:t xml:space="preserve"> June </w:t>
      </w:r>
      <w:r w:rsidRPr="00BF3409">
        <w:rPr>
          <w:rFonts w:ascii="Times New Roman" w:hAnsi="Times New Roman" w:cs="Times New Roman"/>
          <w:color w:val="000000" w:themeColor="text1"/>
          <w:sz w:val="18"/>
          <w:szCs w:val="18"/>
        </w:rPr>
        <w:t>2022, p</w:t>
      </w:r>
      <w:r w:rsidR="001E199A" w:rsidRPr="00BF3409">
        <w:rPr>
          <w:rFonts w:ascii="Times New Roman" w:hAnsi="Times New Roman" w:cs="Times New Roman"/>
          <w:color w:val="000000" w:themeColor="text1"/>
          <w:sz w:val="18"/>
          <w:szCs w:val="18"/>
        </w:rPr>
        <w:t>p</w:t>
      </w:r>
      <w:r w:rsidRPr="00BF3409">
        <w:rPr>
          <w:rFonts w:ascii="Times New Roman" w:hAnsi="Times New Roman" w:cs="Times New Roman"/>
          <w:color w:val="000000" w:themeColor="text1"/>
          <w:sz w:val="18"/>
          <w:szCs w:val="18"/>
        </w:rPr>
        <w:t>. 113–130.</w:t>
      </w:r>
    </w:p>
  </w:footnote>
  <w:footnote w:id="99">
    <w:p w14:paraId="5DB338C1" w14:textId="36B08CFF"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Directive (EU) 2024/1619 of the European Parliament and of the Council of 31 May 2024 amending Directive 2013/36/EU as regards supervisory powers, sanctions, third‑country branches, and environmental, social and governance risks (CRD VI) OJ L 1619, 19 June 2024.</w:t>
      </w:r>
    </w:p>
  </w:footnote>
  <w:footnote w:id="100">
    <w:p w14:paraId="3457D06B" w14:textId="21D557F4" w:rsidR="00BF3409" w:rsidRPr="00BF3409" w:rsidRDefault="00BF3409">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See: Agnieszka </w:t>
      </w:r>
      <w:proofErr w:type="spellStart"/>
      <w:r w:rsidRPr="00BF3409">
        <w:rPr>
          <w:rFonts w:ascii="Times New Roman" w:hAnsi="Times New Roman" w:cs="Times New Roman"/>
          <w:sz w:val="18"/>
          <w:szCs w:val="18"/>
        </w:rPr>
        <w:t>Smoleńska</w:t>
      </w:r>
      <w:proofErr w:type="spellEnd"/>
      <w:r w:rsidRPr="00BF3409">
        <w:rPr>
          <w:rFonts w:ascii="Times New Roman" w:hAnsi="Times New Roman" w:cs="Times New Roman"/>
          <w:sz w:val="18"/>
          <w:szCs w:val="18"/>
        </w:rPr>
        <w:t xml:space="preserve"> 'EU Bank Regulation after the Great Financial Crisis: Swinging the Regulatory Pendulum into a New Paradigm', in Alexis </w:t>
      </w:r>
      <w:proofErr w:type="spellStart"/>
      <w:r w:rsidRPr="00BF3409">
        <w:rPr>
          <w:rFonts w:ascii="Times New Roman" w:hAnsi="Times New Roman" w:cs="Times New Roman"/>
          <w:sz w:val="18"/>
          <w:szCs w:val="18"/>
        </w:rPr>
        <w:t>Drach</w:t>
      </w:r>
      <w:proofErr w:type="spellEnd"/>
      <w:r w:rsidRPr="00BF3409">
        <w:rPr>
          <w:rFonts w:ascii="Times New Roman" w:hAnsi="Times New Roman" w:cs="Times New Roman"/>
          <w:sz w:val="18"/>
          <w:szCs w:val="18"/>
        </w:rPr>
        <w:t xml:space="preserve">, and Youssef Cassis (eds), </w:t>
      </w:r>
      <w:r w:rsidRPr="00BF3409">
        <w:rPr>
          <w:rFonts w:ascii="Times New Roman" w:hAnsi="Times New Roman" w:cs="Times New Roman"/>
          <w:i/>
          <w:iCs/>
          <w:sz w:val="18"/>
          <w:szCs w:val="18"/>
        </w:rPr>
        <w:t>Financial Deregulation: A Historical Perspective</w:t>
      </w:r>
      <w:r w:rsidRPr="00BF3409">
        <w:rPr>
          <w:rFonts w:ascii="Times New Roman" w:hAnsi="Times New Roman" w:cs="Times New Roman"/>
          <w:sz w:val="18"/>
          <w:szCs w:val="18"/>
        </w:rPr>
        <w:t xml:space="preserve"> (Oxford: Oxford University Press, 2021).</w:t>
      </w:r>
    </w:p>
  </w:footnote>
  <w:footnote w:id="101">
    <w:p w14:paraId="13C6B126" w14:textId="7DA9E437"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proofErr w:type="spellStart"/>
      <w:r w:rsidRPr="00BF3409">
        <w:rPr>
          <w:rFonts w:ascii="Times New Roman" w:hAnsi="Times New Roman" w:cs="Times New Roman"/>
          <w:sz w:val="18"/>
          <w:szCs w:val="18"/>
        </w:rPr>
        <w:t>Smoleńska</w:t>
      </w:r>
      <w:proofErr w:type="spellEnd"/>
      <w:r w:rsidRPr="00BF3409">
        <w:rPr>
          <w:rFonts w:ascii="Times New Roman" w:hAnsi="Times New Roman" w:cs="Times New Roman"/>
          <w:sz w:val="18"/>
          <w:szCs w:val="18"/>
        </w:rPr>
        <w:t>, n. 2</w:t>
      </w:r>
      <w:r w:rsidR="006E7426">
        <w:rPr>
          <w:rFonts w:ascii="Times New Roman" w:hAnsi="Times New Roman" w:cs="Times New Roman"/>
          <w:sz w:val="18"/>
          <w:szCs w:val="18"/>
        </w:rPr>
        <w:t>6</w:t>
      </w:r>
      <w:r w:rsidRPr="00BF3409">
        <w:rPr>
          <w:rFonts w:ascii="Times New Roman" w:hAnsi="Times New Roman" w:cs="Times New Roman"/>
          <w:sz w:val="18"/>
          <w:szCs w:val="18"/>
        </w:rPr>
        <w:t>.</w:t>
      </w:r>
    </w:p>
  </w:footnote>
  <w:footnote w:id="102">
    <w:p w14:paraId="37C63612" w14:textId="0E9350D0"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proofErr w:type="spellStart"/>
      <w:r w:rsidRPr="00BF3409">
        <w:rPr>
          <w:rFonts w:ascii="Times New Roman" w:hAnsi="Times New Roman" w:cs="Times New Roman"/>
          <w:sz w:val="18"/>
          <w:szCs w:val="18"/>
        </w:rPr>
        <w:t>Smoleńska</w:t>
      </w:r>
      <w:proofErr w:type="spellEnd"/>
      <w:r w:rsidRPr="00BF3409">
        <w:rPr>
          <w:rFonts w:ascii="Times New Roman" w:hAnsi="Times New Roman" w:cs="Times New Roman"/>
          <w:sz w:val="18"/>
          <w:szCs w:val="18"/>
        </w:rPr>
        <w:t>, n. 24.</w:t>
      </w:r>
    </w:p>
  </w:footnote>
  <w:footnote w:id="103">
    <w:p w14:paraId="089AF69D" w14:textId="7A00CDC2" w:rsidR="00046727" w:rsidRPr="00046727" w:rsidRDefault="00046727">
      <w:pPr>
        <w:pStyle w:val="Tekstprzypisudolnego"/>
      </w:pPr>
      <w:r>
        <w:rPr>
          <w:rStyle w:val="Odwoanieprzypisudolnego"/>
        </w:rPr>
        <w:footnoteRef/>
      </w:r>
      <w:r>
        <w:t xml:space="preserve"> </w:t>
      </w:r>
      <w:proofErr w:type="spellStart"/>
      <w:r>
        <w:t>Bartl</w:t>
      </w:r>
      <w:proofErr w:type="spellEnd"/>
      <w:r>
        <w:t>, n. 13.</w:t>
      </w:r>
    </w:p>
  </w:footnote>
  <w:footnote w:id="104">
    <w:p w14:paraId="20020F0A" w14:textId="2AE8A632"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Dutch ING (2022)</w:t>
      </w:r>
      <w:r w:rsidR="00107E8D">
        <w:rPr>
          <w:rFonts w:ascii="Times New Roman" w:hAnsi="Times New Roman" w:cs="Times New Roman"/>
          <w:sz w:val="18"/>
          <w:szCs w:val="18"/>
        </w:rPr>
        <w:t>, n. 14.</w:t>
      </w:r>
    </w:p>
  </w:footnote>
  <w:footnote w:id="105">
    <w:p w14:paraId="717861FC" w14:textId="52E82F83" w:rsidR="008B50D1" w:rsidRPr="00BF3409" w:rsidRDefault="008B50D1" w:rsidP="00E118C3">
      <w:pPr>
        <w:pStyle w:val="Tekstprzypisudolnego"/>
        <w:rPr>
          <w:rFonts w:ascii="Times New Roman" w:hAnsi="Times New Roman" w:cs="Times New Roman"/>
          <w:sz w:val="18"/>
          <w:szCs w:val="18"/>
        </w:rPr>
      </w:pPr>
      <w:r w:rsidRPr="00BF3409">
        <w:rPr>
          <w:rStyle w:val="Odwoanieprzypisudolnego"/>
          <w:rFonts w:ascii="Times New Roman" w:hAnsi="Times New Roman" w:cs="Times New Roman"/>
          <w:sz w:val="18"/>
          <w:szCs w:val="18"/>
        </w:rPr>
        <w:footnoteRef/>
      </w:r>
      <w:r w:rsidRPr="00BF3409">
        <w:rPr>
          <w:rFonts w:ascii="Times New Roman" w:hAnsi="Times New Roman" w:cs="Times New Roman"/>
          <w:sz w:val="18"/>
          <w:szCs w:val="18"/>
        </w:rPr>
        <w:t xml:space="preserve"> </w:t>
      </w:r>
      <w:r w:rsidR="001E199A" w:rsidRPr="00BF3409">
        <w:rPr>
          <w:rFonts w:ascii="Times New Roman" w:hAnsi="Times New Roman" w:cs="Times New Roman"/>
          <w:sz w:val="18"/>
          <w:szCs w:val="18"/>
        </w:rPr>
        <w:t xml:space="preserve">For more on the endogeneity between law and organisations, see </w:t>
      </w:r>
      <w:r w:rsidRPr="00BF3409">
        <w:rPr>
          <w:rFonts w:ascii="Times New Roman" w:hAnsi="Times New Roman" w:cs="Times New Roman"/>
          <w:sz w:val="18"/>
          <w:szCs w:val="18"/>
        </w:rPr>
        <w:t xml:space="preserve">Edelman and </w:t>
      </w:r>
      <w:proofErr w:type="spellStart"/>
      <w:r w:rsidRPr="00BF3409">
        <w:rPr>
          <w:rFonts w:ascii="Times New Roman" w:hAnsi="Times New Roman" w:cs="Times New Roman"/>
          <w:sz w:val="18"/>
          <w:szCs w:val="18"/>
        </w:rPr>
        <w:t>Suchman</w:t>
      </w:r>
      <w:proofErr w:type="spellEnd"/>
      <w:r w:rsidRPr="00BF3409">
        <w:rPr>
          <w:rFonts w:ascii="Times New Roman" w:hAnsi="Times New Roman" w:cs="Times New Roman"/>
          <w:sz w:val="18"/>
          <w:szCs w:val="18"/>
        </w:rPr>
        <w:t>, n. 1</w:t>
      </w:r>
      <w:r w:rsidR="00107E8D">
        <w:rPr>
          <w:rFonts w:ascii="Times New Roman" w:hAnsi="Times New Roman" w:cs="Times New Roman"/>
          <w:sz w:val="18"/>
          <w:szCs w:val="18"/>
        </w:rPr>
        <w:t>5</w:t>
      </w:r>
      <w:r w:rsidRPr="00BF3409">
        <w:rPr>
          <w:rFonts w:ascii="Times New Roman" w:hAnsi="Times New Roman" w:cs="Times New Roman"/>
          <w:sz w:val="18"/>
          <w:szCs w:val="18"/>
        </w:rPr>
        <w:t xml:space="preserve">, p. 507. </w:t>
      </w:r>
    </w:p>
  </w:footnote>
  <w:footnote w:id="106">
    <w:p w14:paraId="18F4F767" w14:textId="613A3E51"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t>
      </w:r>
      <w:proofErr w:type="spellStart"/>
      <w:r w:rsidRPr="00BF3409">
        <w:rPr>
          <w:rFonts w:ascii="Times New Roman" w:hAnsi="Times New Roman" w:cs="Times New Roman"/>
          <w:sz w:val="18"/>
          <w:szCs w:val="18"/>
        </w:rPr>
        <w:t>Smoleńska</w:t>
      </w:r>
      <w:proofErr w:type="spellEnd"/>
      <w:r w:rsidRPr="00BF3409">
        <w:rPr>
          <w:rFonts w:ascii="Times New Roman" w:hAnsi="Times New Roman" w:cs="Times New Roman"/>
          <w:sz w:val="18"/>
          <w:szCs w:val="18"/>
        </w:rPr>
        <w:t>, n. 25.</w:t>
      </w:r>
    </w:p>
  </w:footnote>
  <w:footnote w:id="107">
    <w:p w14:paraId="196C1766" w14:textId="2C2C9F32"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In this case, a failure to meet the green obligation will lead to downgrading of the debt from the ‘sustainable</w:t>
      </w:r>
      <w:r w:rsidR="001E199A"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status</w:t>
      </w:r>
      <w:r w:rsidR="001E199A" w:rsidRPr="00BF3409">
        <w:rPr>
          <w:rFonts w:ascii="Times New Roman" w:hAnsi="Times New Roman" w:cs="Times New Roman"/>
          <w:color w:val="000000" w:themeColor="text1"/>
          <w:sz w:val="18"/>
          <w:szCs w:val="18"/>
        </w:rPr>
        <w:t xml:space="preserve"> – </w:t>
      </w:r>
      <w:r w:rsidRPr="00BF3409">
        <w:rPr>
          <w:rFonts w:ascii="Times New Roman" w:hAnsi="Times New Roman" w:cs="Times New Roman"/>
          <w:color w:val="000000" w:themeColor="text1"/>
          <w:sz w:val="18"/>
          <w:szCs w:val="18"/>
        </w:rPr>
        <w:t xml:space="preserve">see Alastair Marsh, ‘Bankers Doing Bond Deals Jolted by New Era of Issuer Clauses’ </w:t>
      </w:r>
      <w:r w:rsidRPr="00BF3409">
        <w:rPr>
          <w:rFonts w:ascii="Times New Roman" w:hAnsi="Times New Roman" w:cs="Times New Roman"/>
          <w:i/>
          <w:iCs/>
          <w:color w:val="000000" w:themeColor="text1"/>
          <w:sz w:val="18"/>
          <w:szCs w:val="18"/>
        </w:rPr>
        <w:t>Bloomberg News</w:t>
      </w:r>
      <w:r w:rsidRPr="00BF3409">
        <w:rPr>
          <w:rFonts w:ascii="Times New Roman" w:hAnsi="Times New Roman" w:cs="Times New Roman"/>
          <w:color w:val="000000" w:themeColor="text1"/>
          <w:sz w:val="18"/>
          <w:szCs w:val="18"/>
        </w:rPr>
        <w:t xml:space="preserve"> (28 April 2024).</w:t>
      </w:r>
    </w:p>
  </w:footnote>
  <w:footnote w:id="108">
    <w:p w14:paraId="62CA6A7C" w14:textId="77777777"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Such clauses force a renegotiation of the terms should the borrower not meet the sustainability targets.</w:t>
      </w:r>
    </w:p>
  </w:footnote>
  <w:footnote w:id="109">
    <w:p w14:paraId="2CB96989" w14:textId="431729AF"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Eriksson, n. 7</w:t>
      </w:r>
      <w:r w:rsidR="001E199A" w:rsidRPr="00BF3409">
        <w:rPr>
          <w:rFonts w:ascii="Times New Roman" w:hAnsi="Times New Roman" w:cs="Times New Roman"/>
          <w:color w:val="000000" w:themeColor="text1"/>
          <w:sz w:val="18"/>
          <w:szCs w:val="18"/>
        </w:rPr>
        <w:t>.</w:t>
      </w:r>
      <w:r w:rsidRPr="00BF3409">
        <w:rPr>
          <w:rFonts w:ascii="Times New Roman" w:hAnsi="Times New Roman" w:cs="Times New Roman"/>
          <w:color w:val="000000" w:themeColor="text1"/>
          <w:sz w:val="18"/>
          <w:szCs w:val="18"/>
        </w:rPr>
        <w:t xml:space="preserve"> </w:t>
      </w:r>
      <w:r w:rsidR="001E199A" w:rsidRPr="00BF3409">
        <w:rPr>
          <w:rFonts w:ascii="Times New Roman" w:hAnsi="Times New Roman" w:cs="Times New Roman"/>
          <w:color w:val="000000" w:themeColor="text1"/>
          <w:sz w:val="18"/>
          <w:szCs w:val="18"/>
        </w:rPr>
        <w:t>I</w:t>
      </w:r>
      <w:r w:rsidRPr="00BF3409">
        <w:rPr>
          <w:rFonts w:ascii="Times New Roman" w:hAnsi="Times New Roman" w:cs="Times New Roman"/>
          <w:color w:val="000000" w:themeColor="text1"/>
          <w:sz w:val="18"/>
          <w:szCs w:val="18"/>
        </w:rPr>
        <w:t>n the context of fiduciary duties specifically</w:t>
      </w:r>
      <w:r w:rsidR="001E199A" w:rsidRPr="00BF3409">
        <w:rPr>
          <w:rFonts w:ascii="Times New Roman" w:hAnsi="Times New Roman" w:cs="Times New Roman"/>
          <w:color w:val="000000" w:themeColor="text1"/>
          <w:sz w:val="18"/>
          <w:szCs w:val="18"/>
        </w:rPr>
        <w:t>, see also</w:t>
      </w:r>
      <w:r w:rsidRPr="00BF3409">
        <w:rPr>
          <w:rFonts w:ascii="Times New Roman" w:hAnsi="Times New Roman" w:cs="Times New Roman"/>
          <w:color w:val="000000" w:themeColor="text1"/>
          <w:sz w:val="18"/>
          <w:szCs w:val="18"/>
        </w:rPr>
        <w:t xml:space="preserve"> MacNeil, n. 9</w:t>
      </w:r>
      <w:r w:rsidR="00C531AA">
        <w:rPr>
          <w:rFonts w:ascii="Times New Roman" w:hAnsi="Times New Roman" w:cs="Times New Roman"/>
          <w:color w:val="000000" w:themeColor="text1"/>
          <w:sz w:val="18"/>
          <w:szCs w:val="18"/>
        </w:rPr>
        <w:t>3</w:t>
      </w:r>
      <w:r w:rsidRPr="00BF3409">
        <w:rPr>
          <w:rFonts w:ascii="Times New Roman" w:hAnsi="Times New Roman" w:cs="Times New Roman"/>
          <w:color w:val="000000" w:themeColor="text1"/>
          <w:sz w:val="18"/>
          <w:szCs w:val="18"/>
        </w:rPr>
        <w:t>.</w:t>
      </w:r>
    </w:p>
  </w:footnote>
  <w:footnote w:id="110">
    <w:p w14:paraId="31E8B93D" w14:textId="5057BB62"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Simon Mundy, ‘US Green Retreat: How Much Do European Asset Managers Stand to Gain?’ </w:t>
      </w:r>
      <w:r w:rsidRPr="00BF3409">
        <w:rPr>
          <w:rFonts w:ascii="Times New Roman" w:hAnsi="Times New Roman" w:cs="Times New Roman"/>
          <w:i/>
          <w:iCs/>
          <w:color w:val="000000" w:themeColor="text1"/>
          <w:sz w:val="18"/>
          <w:szCs w:val="18"/>
        </w:rPr>
        <w:t>Financial Times</w:t>
      </w:r>
      <w:r w:rsidRPr="00BF3409">
        <w:rPr>
          <w:rFonts w:ascii="Times New Roman" w:hAnsi="Times New Roman" w:cs="Times New Roman"/>
          <w:color w:val="000000" w:themeColor="text1"/>
          <w:sz w:val="18"/>
          <w:szCs w:val="18"/>
        </w:rPr>
        <w:t xml:space="preserve"> (2 June 2025). </w:t>
      </w:r>
    </w:p>
  </w:footnote>
  <w:footnote w:id="111">
    <w:p w14:paraId="13F03DCB" w14:textId="5CB2FD8E"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Edelman and </w:t>
      </w:r>
      <w:proofErr w:type="spellStart"/>
      <w:r w:rsidRPr="00BF3409">
        <w:rPr>
          <w:rFonts w:ascii="Times New Roman" w:hAnsi="Times New Roman" w:cs="Times New Roman"/>
          <w:color w:val="000000" w:themeColor="text1"/>
          <w:sz w:val="18"/>
          <w:szCs w:val="18"/>
        </w:rPr>
        <w:t>Suchman</w:t>
      </w:r>
      <w:proofErr w:type="spellEnd"/>
      <w:r w:rsidRPr="00BF3409">
        <w:rPr>
          <w:rFonts w:ascii="Times New Roman" w:hAnsi="Times New Roman" w:cs="Times New Roman"/>
          <w:color w:val="000000" w:themeColor="text1"/>
          <w:sz w:val="18"/>
          <w:szCs w:val="18"/>
        </w:rPr>
        <w:t>, n. 1</w:t>
      </w:r>
      <w:r w:rsidR="00107E8D">
        <w:rPr>
          <w:rFonts w:ascii="Times New Roman" w:hAnsi="Times New Roman" w:cs="Times New Roman"/>
          <w:color w:val="000000" w:themeColor="text1"/>
          <w:sz w:val="18"/>
          <w:szCs w:val="18"/>
        </w:rPr>
        <w:t>5</w:t>
      </w:r>
      <w:r w:rsidRPr="00BF3409">
        <w:rPr>
          <w:rFonts w:ascii="Times New Roman" w:hAnsi="Times New Roman" w:cs="Times New Roman"/>
          <w:color w:val="000000" w:themeColor="text1"/>
          <w:sz w:val="18"/>
          <w:szCs w:val="18"/>
        </w:rPr>
        <w:t>.</w:t>
      </w:r>
    </w:p>
  </w:footnote>
  <w:footnote w:id="112">
    <w:p w14:paraId="5028A6AC" w14:textId="59D2D0C6"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Following the traditional </w:t>
      </w:r>
      <w:r w:rsidR="001E199A" w:rsidRPr="00BF3409">
        <w:rPr>
          <w:rFonts w:ascii="Times New Roman" w:hAnsi="Times New Roman" w:cs="Times New Roman"/>
          <w:color w:val="000000" w:themeColor="text1"/>
          <w:sz w:val="18"/>
          <w:szCs w:val="18"/>
        </w:rPr>
        <w:t xml:space="preserve">legal realist </w:t>
      </w:r>
      <w:r w:rsidRPr="00BF3409">
        <w:rPr>
          <w:rFonts w:ascii="Times New Roman" w:hAnsi="Times New Roman" w:cs="Times New Roman"/>
          <w:color w:val="000000" w:themeColor="text1"/>
          <w:sz w:val="18"/>
          <w:szCs w:val="18"/>
        </w:rPr>
        <w:t>approaches</w:t>
      </w:r>
      <w:r w:rsidR="001E199A" w:rsidRPr="00BF3409">
        <w:rPr>
          <w:rFonts w:ascii="Times New Roman" w:hAnsi="Times New Roman" w:cs="Times New Roman"/>
          <w:color w:val="000000" w:themeColor="text1"/>
          <w:sz w:val="18"/>
          <w:szCs w:val="18"/>
        </w:rPr>
        <w:t>. See</w:t>
      </w:r>
      <w:r w:rsidRPr="00BF3409">
        <w:rPr>
          <w:rFonts w:ascii="Times New Roman" w:hAnsi="Times New Roman" w:cs="Times New Roman"/>
          <w:color w:val="000000" w:themeColor="text1"/>
          <w:sz w:val="18"/>
          <w:szCs w:val="18"/>
        </w:rPr>
        <w:t xml:space="preserve"> Robert L. Hale, </w:t>
      </w:r>
      <w:r w:rsidR="001E199A" w:rsidRPr="00BF3409">
        <w:rPr>
          <w:rFonts w:ascii="Times New Roman" w:hAnsi="Times New Roman" w:cs="Times New Roman"/>
          <w:color w:val="000000" w:themeColor="text1"/>
          <w:sz w:val="18"/>
          <w:szCs w:val="18"/>
        </w:rPr>
        <w:t xml:space="preserve">‘Coercion </w:t>
      </w:r>
      <w:r w:rsidRPr="00BF3409">
        <w:rPr>
          <w:rFonts w:ascii="Times New Roman" w:hAnsi="Times New Roman" w:cs="Times New Roman"/>
          <w:color w:val="000000" w:themeColor="text1"/>
          <w:sz w:val="18"/>
          <w:szCs w:val="18"/>
        </w:rPr>
        <w:t xml:space="preserve">and Distribution in a Supposedly Non-Coercive </w:t>
      </w:r>
      <w:r w:rsidR="001E199A" w:rsidRPr="00BF3409">
        <w:rPr>
          <w:rFonts w:ascii="Times New Roman" w:hAnsi="Times New Roman" w:cs="Times New Roman"/>
          <w:color w:val="000000" w:themeColor="text1"/>
          <w:sz w:val="18"/>
          <w:szCs w:val="18"/>
        </w:rPr>
        <w:t xml:space="preserve">State’ </w:t>
      </w:r>
      <w:r w:rsidRPr="00BF3409">
        <w:rPr>
          <w:rFonts w:ascii="Times New Roman" w:hAnsi="Times New Roman" w:cs="Times New Roman"/>
          <w:color w:val="000000" w:themeColor="text1"/>
          <w:sz w:val="18"/>
          <w:szCs w:val="18"/>
        </w:rPr>
        <w:t xml:space="preserve">(1923) 38(3) </w:t>
      </w:r>
      <w:r w:rsidRPr="00BF3409">
        <w:rPr>
          <w:rFonts w:ascii="Times New Roman" w:hAnsi="Times New Roman" w:cs="Times New Roman"/>
          <w:i/>
          <w:iCs/>
          <w:color w:val="000000" w:themeColor="text1"/>
          <w:sz w:val="18"/>
          <w:szCs w:val="18"/>
        </w:rPr>
        <w:t xml:space="preserve">Political Science Quarterly </w:t>
      </w:r>
      <w:r w:rsidRPr="00BF3409">
        <w:rPr>
          <w:rFonts w:ascii="Times New Roman" w:hAnsi="Times New Roman" w:cs="Times New Roman"/>
          <w:color w:val="000000" w:themeColor="text1"/>
          <w:sz w:val="18"/>
          <w:szCs w:val="18"/>
        </w:rPr>
        <w:t>470.</w:t>
      </w:r>
    </w:p>
  </w:footnote>
  <w:footnote w:id="113">
    <w:p w14:paraId="428EE64E" w14:textId="07A02F40"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w:t>
      </w:r>
      <w:proofErr w:type="spellStart"/>
      <w:r w:rsidRPr="00BF3409">
        <w:rPr>
          <w:rFonts w:ascii="Times New Roman" w:hAnsi="Times New Roman" w:cs="Times New Roman"/>
          <w:color w:val="000000" w:themeColor="text1"/>
          <w:sz w:val="18"/>
          <w:szCs w:val="18"/>
        </w:rPr>
        <w:t>Cristie</w:t>
      </w:r>
      <w:proofErr w:type="spellEnd"/>
      <w:r w:rsidRPr="00BF3409">
        <w:rPr>
          <w:rFonts w:ascii="Times New Roman" w:hAnsi="Times New Roman" w:cs="Times New Roman"/>
          <w:color w:val="000000" w:themeColor="text1"/>
          <w:sz w:val="18"/>
          <w:szCs w:val="18"/>
        </w:rPr>
        <w:t xml:space="preserve"> Ford, </w:t>
      </w:r>
      <w:r w:rsidRPr="00BF3409">
        <w:rPr>
          <w:rFonts w:ascii="Times New Roman" w:hAnsi="Times New Roman" w:cs="Times New Roman"/>
          <w:i/>
          <w:color w:val="000000" w:themeColor="text1"/>
          <w:sz w:val="18"/>
          <w:szCs w:val="18"/>
        </w:rPr>
        <w:t>Innovation and the State: Finance, Regulation, and Justice</w:t>
      </w:r>
      <w:r w:rsidRPr="00BF3409">
        <w:rPr>
          <w:rFonts w:ascii="Times New Roman" w:hAnsi="Times New Roman" w:cs="Times New Roman"/>
          <w:color w:val="000000" w:themeColor="text1"/>
          <w:sz w:val="18"/>
          <w:szCs w:val="18"/>
        </w:rPr>
        <w:t xml:space="preserve"> (</w:t>
      </w:r>
      <w:r w:rsidR="001E199A" w:rsidRPr="00BF3409">
        <w:rPr>
          <w:rFonts w:ascii="Times New Roman" w:hAnsi="Times New Roman" w:cs="Times New Roman"/>
          <w:color w:val="000000" w:themeColor="text1"/>
          <w:sz w:val="18"/>
          <w:szCs w:val="18"/>
        </w:rPr>
        <w:t xml:space="preserve">Cambridge: </w:t>
      </w:r>
      <w:r w:rsidRPr="00BF3409">
        <w:rPr>
          <w:rFonts w:ascii="Times New Roman" w:hAnsi="Times New Roman" w:cs="Times New Roman"/>
          <w:color w:val="000000" w:themeColor="text1"/>
          <w:sz w:val="18"/>
          <w:szCs w:val="18"/>
        </w:rPr>
        <w:t>Cambridge University Press, 2017).</w:t>
      </w:r>
    </w:p>
  </w:footnote>
  <w:footnote w:id="114">
    <w:p w14:paraId="5E46184A" w14:textId="13F7C074" w:rsidR="008B50D1" w:rsidRPr="00BF3409" w:rsidRDefault="008B50D1" w:rsidP="00E118C3">
      <w:pPr>
        <w:pStyle w:val="Tekstprzypisudolnego"/>
        <w:rPr>
          <w:rFonts w:ascii="Times New Roman" w:hAnsi="Times New Roman" w:cs="Times New Roman"/>
          <w:color w:val="000000" w:themeColor="text1"/>
          <w:sz w:val="18"/>
          <w:szCs w:val="18"/>
        </w:rPr>
      </w:pPr>
      <w:r w:rsidRPr="00BF3409">
        <w:rPr>
          <w:rStyle w:val="Odwoanieprzypisudolnego"/>
          <w:rFonts w:ascii="Times New Roman" w:hAnsi="Times New Roman" w:cs="Times New Roman"/>
          <w:color w:val="000000" w:themeColor="text1"/>
          <w:sz w:val="18"/>
          <w:szCs w:val="18"/>
        </w:rPr>
        <w:footnoteRef/>
      </w:r>
      <w:r w:rsidRPr="00BF3409">
        <w:rPr>
          <w:rFonts w:ascii="Times New Roman" w:hAnsi="Times New Roman" w:cs="Times New Roman"/>
          <w:color w:val="000000" w:themeColor="text1"/>
          <w:sz w:val="18"/>
          <w:szCs w:val="18"/>
        </w:rPr>
        <w:t xml:space="preserve"> ICMA, </w:t>
      </w:r>
      <w:r w:rsidRPr="00BF3409">
        <w:rPr>
          <w:rFonts w:ascii="Times New Roman" w:hAnsi="Times New Roman" w:cs="Times New Roman"/>
          <w:i/>
          <w:color w:val="000000" w:themeColor="text1"/>
          <w:sz w:val="18"/>
          <w:szCs w:val="18"/>
        </w:rPr>
        <w:t xml:space="preserve">Market </w:t>
      </w:r>
      <w:r w:rsidR="001E199A" w:rsidRPr="00BF3409">
        <w:rPr>
          <w:rFonts w:ascii="Times New Roman" w:hAnsi="Times New Roman" w:cs="Times New Roman"/>
          <w:i/>
          <w:iCs/>
          <w:color w:val="000000" w:themeColor="text1"/>
          <w:sz w:val="18"/>
          <w:szCs w:val="18"/>
        </w:rPr>
        <w:t xml:space="preserve">Integrity </w:t>
      </w:r>
      <w:r w:rsidRPr="00BF3409">
        <w:rPr>
          <w:rFonts w:ascii="Times New Roman" w:hAnsi="Times New Roman" w:cs="Times New Roman"/>
          <w:i/>
          <w:color w:val="000000" w:themeColor="text1"/>
          <w:sz w:val="18"/>
          <w:szCs w:val="18"/>
        </w:rPr>
        <w:t xml:space="preserve">and </w:t>
      </w:r>
      <w:r w:rsidR="001E199A" w:rsidRPr="00BF3409">
        <w:rPr>
          <w:rFonts w:ascii="Times New Roman" w:hAnsi="Times New Roman" w:cs="Times New Roman"/>
          <w:i/>
          <w:iCs/>
          <w:color w:val="000000" w:themeColor="text1"/>
          <w:sz w:val="18"/>
          <w:szCs w:val="18"/>
        </w:rPr>
        <w:t xml:space="preserve">Greenwashing Risks </w:t>
      </w:r>
      <w:r w:rsidRPr="00BF3409">
        <w:rPr>
          <w:rFonts w:ascii="Times New Roman" w:hAnsi="Times New Roman" w:cs="Times New Roman"/>
          <w:i/>
          <w:color w:val="000000" w:themeColor="text1"/>
          <w:sz w:val="18"/>
          <w:szCs w:val="18"/>
        </w:rPr>
        <w:t xml:space="preserve">in </w:t>
      </w:r>
      <w:r w:rsidR="001E199A" w:rsidRPr="00BF3409">
        <w:rPr>
          <w:rFonts w:ascii="Times New Roman" w:hAnsi="Times New Roman" w:cs="Times New Roman"/>
          <w:i/>
          <w:iCs/>
          <w:color w:val="000000" w:themeColor="text1"/>
          <w:sz w:val="18"/>
          <w:szCs w:val="18"/>
        </w:rPr>
        <w:t>Sustainable Finance</w:t>
      </w:r>
      <w:r w:rsidR="001E199A" w:rsidRPr="00BF3409">
        <w:rPr>
          <w:rFonts w:ascii="Times New Roman" w:hAnsi="Times New Roman" w:cs="Times New Roman"/>
          <w:color w:val="000000" w:themeColor="text1"/>
          <w:sz w:val="18"/>
          <w:szCs w:val="18"/>
        </w:rPr>
        <w:t xml:space="preserve"> </w:t>
      </w:r>
      <w:r w:rsidRPr="00BF3409">
        <w:rPr>
          <w:rFonts w:ascii="Times New Roman" w:hAnsi="Times New Roman" w:cs="Times New Roman"/>
          <w:color w:val="000000" w:themeColor="text1"/>
          <w:sz w:val="18"/>
          <w:szCs w:val="18"/>
        </w:rPr>
        <w:t>(Report, 2024).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7373E2" w14:textId="77777777" w:rsidR="00292B60" w:rsidRDefault="00292B6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A5D07"/>
    <w:multiLevelType w:val="hybridMultilevel"/>
    <w:tmpl w:val="D1AEA76E"/>
    <w:lvl w:ilvl="0" w:tplc="E3C45DAA">
      <w:start w:val="2"/>
      <w:numFmt w:val="bullet"/>
      <w:lvlText w:val="-"/>
      <w:lvlJc w:val="left"/>
      <w:pPr>
        <w:ind w:left="720" w:hanging="360"/>
      </w:pPr>
      <w:rPr>
        <w:rFonts w:ascii="Noto Sans" w:eastAsiaTheme="minorHAnsi" w:hAnsi="Noto Sans" w:cs="Noto San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9D5260"/>
    <w:multiLevelType w:val="multilevel"/>
    <w:tmpl w:val="E1228D2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9D84E92"/>
    <w:multiLevelType w:val="hybridMultilevel"/>
    <w:tmpl w:val="A3D2294E"/>
    <w:lvl w:ilvl="0" w:tplc="08090015">
      <w:start w:val="3"/>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586FFA"/>
    <w:multiLevelType w:val="hybridMultilevel"/>
    <w:tmpl w:val="17545B2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8708BF"/>
    <w:multiLevelType w:val="hybridMultilevel"/>
    <w:tmpl w:val="92FA2C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166685"/>
    <w:multiLevelType w:val="multilevel"/>
    <w:tmpl w:val="72AEF6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3740AE8"/>
    <w:multiLevelType w:val="multilevel"/>
    <w:tmpl w:val="554A7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FE84F4F"/>
    <w:multiLevelType w:val="hybridMultilevel"/>
    <w:tmpl w:val="82BE2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F15D6F"/>
    <w:multiLevelType w:val="multilevel"/>
    <w:tmpl w:val="5C0CA2F6"/>
    <w:lvl w:ilvl="0">
      <w:start w:val="3"/>
      <w:numFmt w:val="decimal"/>
      <w:lvlText w:val="%1"/>
      <w:lvlJc w:val="left"/>
      <w:pPr>
        <w:ind w:left="360" w:hanging="360"/>
      </w:pPr>
      <w:rPr>
        <w:rFonts w:hint="default"/>
        <w:b/>
        <w:bCs/>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B673725"/>
    <w:multiLevelType w:val="hybridMultilevel"/>
    <w:tmpl w:val="4F8C48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2ED6D50"/>
    <w:multiLevelType w:val="hybridMultilevel"/>
    <w:tmpl w:val="E3E67F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796922"/>
    <w:multiLevelType w:val="hybridMultilevel"/>
    <w:tmpl w:val="1C288FE8"/>
    <w:lvl w:ilvl="0" w:tplc="2D406C9A">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4F7D2E"/>
    <w:multiLevelType w:val="hybridMultilevel"/>
    <w:tmpl w:val="B5343796"/>
    <w:lvl w:ilvl="0" w:tplc="1540879A">
      <w:start w:val="1"/>
      <w:numFmt w:val="lowerLetter"/>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67C2758"/>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9D0548C"/>
    <w:multiLevelType w:val="hybridMultilevel"/>
    <w:tmpl w:val="8C0A080A"/>
    <w:lvl w:ilvl="0" w:tplc="940E4B20">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B8A09BA"/>
    <w:multiLevelType w:val="hybridMultilevel"/>
    <w:tmpl w:val="B1DCE860"/>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2940B17"/>
    <w:multiLevelType w:val="hybridMultilevel"/>
    <w:tmpl w:val="44721B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B69732D"/>
    <w:multiLevelType w:val="hybridMultilevel"/>
    <w:tmpl w:val="72FCA904"/>
    <w:lvl w:ilvl="0" w:tplc="08090015">
      <w:start w:val="3"/>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FF67EC8"/>
    <w:multiLevelType w:val="hybridMultilevel"/>
    <w:tmpl w:val="A6D0F0EE"/>
    <w:lvl w:ilvl="0" w:tplc="2D406C9A">
      <w:numFmt w:val="bullet"/>
      <w:lvlText w:val=""/>
      <w:lvlJc w:val="left"/>
      <w:pPr>
        <w:ind w:left="720" w:hanging="360"/>
      </w:pPr>
      <w:rPr>
        <w:rFonts w:ascii="Symbol" w:eastAsiaTheme="minorHAnsi" w:hAnsi="Symbol"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A4207A1"/>
    <w:multiLevelType w:val="hybridMultilevel"/>
    <w:tmpl w:val="9602337E"/>
    <w:lvl w:ilvl="0" w:tplc="87A89CA2">
      <w:start w:val="2"/>
      <w:numFmt w:val="bullet"/>
      <w:lvlText w:val="-"/>
      <w:lvlJc w:val="left"/>
      <w:pPr>
        <w:ind w:left="720" w:hanging="360"/>
      </w:pPr>
      <w:rPr>
        <w:rFonts w:ascii="Noto Sans" w:eastAsiaTheme="minorHAnsi" w:hAnsi="Noto Sans" w:cs="Noto Sans"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10"/>
  </w:num>
  <w:num w:numId="4">
    <w:abstractNumId w:val="7"/>
  </w:num>
  <w:num w:numId="5">
    <w:abstractNumId w:val="16"/>
  </w:num>
  <w:num w:numId="6">
    <w:abstractNumId w:val="18"/>
  </w:num>
  <w:num w:numId="7">
    <w:abstractNumId w:val="13"/>
  </w:num>
  <w:num w:numId="8">
    <w:abstractNumId w:val="14"/>
  </w:num>
  <w:num w:numId="9">
    <w:abstractNumId w:val="6"/>
  </w:num>
  <w:num w:numId="10">
    <w:abstractNumId w:val="11"/>
  </w:num>
  <w:num w:numId="11">
    <w:abstractNumId w:val="3"/>
  </w:num>
  <w:num w:numId="12">
    <w:abstractNumId w:val="1"/>
  </w:num>
  <w:num w:numId="13">
    <w:abstractNumId w:val="12"/>
  </w:num>
  <w:num w:numId="14">
    <w:abstractNumId w:val="0"/>
  </w:num>
  <w:num w:numId="15">
    <w:abstractNumId w:val="19"/>
  </w:num>
  <w:num w:numId="16">
    <w:abstractNumId w:val="8"/>
  </w:num>
  <w:num w:numId="17">
    <w:abstractNumId w:val="9"/>
  </w:num>
  <w:num w:numId="18">
    <w:abstractNumId w:val="2"/>
  </w:num>
  <w:num w:numId="19">
    <w:abstractNumId w:val="17"/>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35AE"/>
    <w:rsid w:val="00000E64"/>
    <w:rsid w:val="00000F6C"/>
    <w:rsid w:val="000016F2"/>
    <w:rsid w:val="00002112"/>
    <w:rsid w:val="0000346C"/>
    <w:rsid w:val="0000398F"/>
    <w:rsid w:val="000042C5"/>
    <w:rsid w:val="00005335"/>
    <w:rsid w:val="00005B27"/>
    <w:rsid w:val="00005EC4"/>
    <w:rsid w:val="00007DC3"/>
    <w:rsid w:val="000100AE"/>
    <w:rsid w:val="00010BD2"/>
    <w:rsid w:val="00011060"/>
    <w:rsid w:val="000110E2"/>
    <w:rsid w:val="0001158C"/>
    <w:rsid w:val="000118BE"/>
    <w:rsid w:val="000129A0"/>
    <w:rsid w:val="00012B95"/>
    <w:rsid w:val="000140DB"/>
    <w:rsid w:val="00016B6E"/>
    <w:rsid w:val="000176DB"/>
    <w:rsid w:val="000212B7"/>
    <w:rsid w:val="00021DC0"/>
    <w:rsid w:val="00024478"/>
    <w:rsid w:val="00024F06"/>
    <w:rsid w:val="00026AF0"/>
    <w:rsid w:val="000309CE"/>
    <w:rsid w:val="00030F72"/>
    <w:rsid w:val="00031A89"/>
    <w:rsid w:val="00032B95"/>
    <w:rsid w:val="00032BCC"/>
    <w:rsid w:val="00032D04"/>
    <w:rsid w:val="00033945"/>
    <w:rsid w:val="00034047"/>
    <w:rsid w:val="000341F4"/>
    <w:rsid w:val="000345C5"/>
    <w:rsid w:val="0003610B"/>
    <w:rsid w:val="00036792"/>
    <w:rsid w:val="00036B1C"/>
    <w:rsid w:val="00037AFD"/>
    <w:rsid w:val="00040228"/>
    <w:rsid w:val="00040F56"/>
    <w:rsid w:val="00041B7C"/>
    <w:rsid w:val="0004340F"/>
    <w:rsid w:val="000438AE"/>
    <w:rsid w:val="00043E3C"/>
    <w:rsid w:val="00044010"/>
    <w:rsid w:val="00044C89"/>
    <w:rsid w:val="00045CA6"/>
    <w:rsid w:val="00046359"/>
    <w:rsid w:val="00046727"/>
    <w:rsid w:val="0004694C"/>
    <w:rsid w:val="00046CAE"/>
    <w:rsid w:val="0004729A"/>
    <w:rsid w:val="0005004D"/>
    <w:rsid w:val="000505F1"/>
    <w:rsid w:val="00050D2E"/>
    <w:rsid w:val="0005102A"/>
    <w:rsid w:val="0005109C"/>
    <w:rsid w:val="0005125F"/>
    <w:rsid w:val="00051759"/>
    <w:rsid w:val="0005227B"/>
    <w:rsid w:val="00053B83"/>
    <w:rsid w:val="00053F07"/>
    <w:rsid w:val="00053F91"/>
    <w:rsid w:val="0005453C"/>
    <w:rsid w:val="00054B97"/>
    <w:rsid w:val="00054CCB"/>
    <w:rsid w:val="00055376"/>
    <w:rsid w:val="000558CA"/>
    <w:rsid w:val="00055A4A"/>
    <w:rsid w:val="00056188"/>
    <w:rsid w:val="000566AB"/>
    <w:rsid w:val="00056A22"/>
    <w:rsid w:val="00056A25"/>
    <w:rsid w:val="00056F54"/>
    <w:rsid w:val="0005786C"/>
    <w:rsid w:val="0005790B"/>
    <w:rsid w:val="00057AED"/>
    <w:rsid w:val="00057D30"/>
    <w:rsid w:val="000607BD"/>
    <w:rsid w:val="0006154B"/>
    <w:rsid w:val="00061F06"/>
    <w:rsid w:val="00064ADA"/>
    <w:rsid w:val="00064E37"/>
    <w:rsid w:val="00067B2D"/>
    <w:rsid w:val="0007120C"/>
    <w:rsid w:val="00071485"/>
    <w:rsid w:val="00071947"/>
    <w:rsid w:val="0007222C"/>
    <w:rsid w:val="000726C0"/>
    <w:rsid w:val="00072C90"/>
    <w:rsid w:val="00072C95"/>
    <w:rsid w:val="000734AB"/>
    <w:rsid w:val="00073CE0"/>
    <w:rsid w:val="00074150"/>
    <w:rsid w:val="0007473B"/>
    <w:rsid w:val="0007668D"/>
    <w:rsid w:val="00076ACE"/>
    <w:rsid w:val="000770B9"/>
    <w:rsid w:val="00080B0B"/>
    <w:rsid w:val="00080FA8"/>
    <w:rsid w:val="000816DE"/>
    <w:rsid w:val="000827A8"/>
    <w:rsid w:val="00082A55"/>
    <w:rsid w:val="00082FA7"/>
    <w:rsid w:val="000835F9"/>
    <w:rsid w:val="00084BE8"/>
    <w:rsid w:val="00085AA9"/>
    <w:rsid w:val="00086498"/>
    <w:rsid w:val="0008711C"/>
    <w:rsid w:val="00087A27"/>
    <w:rsid w:val="000900BE"/>
    <w:rsid w:val="000915E5"/>
    <w:rsid w:val="0009181E"/>
    <w:rsid w:val="00092D5D"/>
    <w:rsid w:val="0009399C"/>
    <w:rsid w:val="00093A54"/>
    <w:rsid w:val="00094C1D"/>
    <w:rsid w:val="000965BD"/>
    <w:rsid w:val="00097605"/>
    <w:rsid w:val="00097856"/>
    <w:rsid w:val="00097F2D"/>
    <w:rsid w:val="000A16BD"/>
    <w:rsid w:val="000A1B7B"/>
    <w:rsid w:val="000A1CEF"/>
    <w:rsid w:val="000A2B6C"/>
    <w:rsid w:val="000A311B"/>
    <w:rsid w:val="000A3133"/>
    <w:rsid w:val="000A3B63"/>
    <w:rsid w:val="000A3C8A"/>
    <w:rsid w:val="000A46BA"/>
    <w:rsid w:val="000A6F01"/>
    <w:rsid w:val="000A779B"/>
    <w:rsid w:val="000B14EB"/>
    <w:rsid w:val="000B190A"/>
    <w:rsid w:val="000B1D38"/>
    <w:rsid w:val="000B31CF"/>
    <w:rsid w:val="000B344D"/>
    <w:rsid w:val="000B36E9"/>
    <w:rsid w:val="000B44F9"/>
    <w:rsid w:val="000B4A82"/>
    <w:rsid w:val="000B5C8E"/>
    <w:rsid w:val="000B78AB"/>
    <w:rsid w:val="000B7C48"/>
    <w:rsid w:val="000C06FF"/>
    <w:rsid w:val="000C0A3F"/>
    <w:rsid w:val="000C4120"/>
    <w:rsid w:val="000C42BA"/>
    <w:rsid w:val="000C63E7"/>
    <w:rsid w:val="000C7D75"/>
    <w:rsid w:val="000D036D"/>
    <w:rsid w:val="000D053A"/>
    <w:rsid w:val="000D3143"/>
    <w:rsid w:val="000D6929"/>
    <w:rsid w:val="000D6B27"/>
    <w:rsid w:val="000E00CC"/>
    <w:rsid w:val="000E08DE"/>
    <w:rsid w:val="000E1157"/>
    <w:rsid w:val="000E342D"/>
    <w:rsid w:val="000E3C70"/>
    <w:rsid w:val="000E4A33"/>
    <w:rsid w:val="000E6637"/>
    <w:rsid w:val="000E753B"/>
    <w:rsid w:val="000F1260"/>
    <w:rsid w:val="000F19F4"/>
    <w:rsid w:val="000F1F80"/>
    <w:rsid w:val="000F218B"/>
    <w:rsid w:val="000F21F7"/>
    <w:rsid w:val="000F238C"/>
    <w:rsid w:val="000F2914"/>
    <w:rsid w:val="000F2EEA"/>
    <w:rsid w:val="000F34D4"/>
    <w:rsid w:val="000F4EC4"/>
    <w:rsid w:val="000F53A4"/>
    <w:rsid w:val="000F6380"/>
    <w:rsid w:val="000F750F"/>
    <w:rsid w:val="001011D1"/>
    <w:rsid w:val="001024DE"/>
    <w:rsid w:val="00102624"/>
    <w:rsid w:val="00103159"/>
    <w:rsid w:val="00106FEC"/>
    <w:rsid w:val="0010700E"/>
    <w:rsid w:val="00107E8D"/>
    <w:rsid w:val="00107EA9"/>
    <w:rsid w:val="00111157"/>
    <w:rsid w:val="001114D4"/>
    <w:rsid w:val="00112194"/>
    <w:rsid w:val="001128B5"/>
    <w:rsid w:val="001128DD"/>
    <w:rsid w:val="00112957"/>
    <w:rsid w:val="00113A22"/>
    <w:rsid w:val="00113B5E"/>
    <w:rsid w:val="00114FCB"/>
    <w:rsid w:val="00116F66"/>
    <w:rsid w:val="00117B44"/>
    <w:rsid w:val="00120A32"/>
    <w:rsid w:val="001212F6"/>
    <w:rsid w:val="001214D6"/>
    <w:rsid w:val="00121520"/>
    <w:rsid w:val="0012200E"/>
    <w:rsid w:val="00122062"/>
    <w:rsid w:val="00122E4A"/>
    <w:rsid w:val="00123031"/>
    <w:rsid w:val="001237BB"/>
    <w:rsid w:val="001237CB"/>
    <w:rsid w:val="0012449B"/>
    <w:rsid w:val="00126641"/>
    <w:rsid w:val="00126D24"/>
    <w:rsid w:val="0012750B"/>
    <w:rsid w:val="00127653"/>
    <w:rsid w:val="00127711"/>
    <w:rsid w:val="0013291E"/>
    <w:rsid w:val="0013320F"/>
    <w:rsid w:val="00134B30"/>
    <w:rsid w:val="00135608"/>
    <w:rsid w:val="00135A67"/>
    <w:rsid w:val="00135E9D"/>
    <w:rsid w:val="0013720B"/>
    <w:rsid w:val="00137DB2"/>
    <w:rsid w:val="00137E35"/>
    <w:rsid w:val="0014007B"/>
    <w:rsid w:val="001402DF"/>
    <w:rsid w:val="00140D74"/>
    <w:rsid w:val="0014184B"/>
    <w:rsid w:val="0014358B"/>
    <w:rsid w:val="001436EF"/>
    <w:rsid w:val="001444D3"/>
    <w:rsid w:val="001448A5"/>
    <w:rsid w:val="00146CDA"/>
    <w:rsid w:val="00147008"/>
    <w:rsid w:val="00147076"/>
    <w:rsid w:val="0015177F"/>
    <w:rsid w:val="00151890"/>
    <w:rsid w:val="00151FA9"/>
    <w:rsid w:val="001521D8"/>
    <w:rsid w:val="00153C35"/>
    <w:rsid w:val="001546A5"/>
    <w:rsid w:val="001558E6"/>
    <w:rsid w:val="00160768"/>
    <w:rsid w:val="00160A4B"/>
    <w:rsid w:val="00161091"/>
    <w:rsid w:val="00161ED9"/>
    <w:rsid w:val="00162003"/>
    <w:rsid w:val="00163971"/>
    <w:rsid w:val="00164598"/>
    <w:rsid w:val="00164C93"/>
    <w:rsid w:val="00164ED5"/>
    <w:rsid w:val="0016507F"/>
    <w:rsid w:val="00165996"/>
    <w:rsid w:val="001669F5"/>
    <w:rsid w:val="00166B1B"/>
    <w:rsid w:val="001674D0"/>
    <w:rsid w:val="00167C7F"/>
    <w:rsid w:val="001707DC"/>
    <w:rsid w:val="00171C0C"/>
    <w:rsid w:val="00171E0B"/>
    <w:rsid w:val="0017354B"/>
    <w:rsid w:val="001736D1"/>
    <w:rsid w:val="00173D62"/>
    <w:rsid w:val="00175448"/>
    <w:rsid w:val="001758EC"/>
    <w:rsid w:val="00177113"/>
    <w:rsid w:val="00177688"/>
    <w:rsid w:val="0018095B"/>
    <w:rsid w:val="00180F39"/>
    <w:rsid w:val="0018189B"/>
    <w:rsid w:val="00181F81"/>
    <w:rsid w:val="001831B8"/>
    <w:rsid w:val="0018348F"/>
    <w:rsid w:val="00183BB0"/>
    <w:rsid w:val="0018458D"/>
    <w:rsid w:val="0018527B"/>
    <w:rsid w:val="00190358"/>
    <w:rsid w:val="00190D38"/>
    <w:rsid w:val="001919AB"/>
    <w:rsid w:val="00191A7A"/>
    <w:rsid w:val="00192623"/>
    <w:rsid w:val="0019344E"/>
    <w:rsid w:val="001939CE"/>
    <w:rsid w:val="00193C86"/>
    <w:rsid w:val="001973DB"/>
    <w:rsid w:val="00197BC1"/>
    <w:rsid w:val="001A0206"/>
    <w:rsid w:val="001A0644"/>
    <w:rsid w:val="001A08C9"/>
    <w:rsid w:val="001A1249"/>
    <w:rsid w:val="001A1F06"/>
    <w:rsid w:val="001A20AA"/>
    <w:rsid w:val="001A20B1"/>
    <w:rsid w:val="001A22B9"/>
    <w:rsid w:val="001A25CE"/>
    <w:rsid w:val="001A286B"/>
    <w:rsid w:val="001A325B"/>
    <w:rsid w:val="001A46A5"/>
    <w:rsid w:val="001A4D40"/>
    <w:rsid w:val="001A5783"/>
    <w:rsid w:val="001A5B43"/>
    <w:rsid w:val="001B1B47"/>
    <w:rsid w:val="001B438D"/>
    <w:rsid w:val="001B46CB"/>
    <w:rsid w:val="001B4B75"/>
    <w:rsid w:val="001B5698"/>
    <w:rsid w:val="001B5B79"/>
    <w:rsid w:val="001B6277"/>
    <w:rsid w:val="001C0133"/>
    <w:rsid w:val="001C1648"/>
    <w:rsid w:val="001C17C4"/>
    <w:rsid w:val="001C1B97"/>
    <w:rsid w:val="001C2C9C"/>
    <w:rsid w:val="001C3DFE"/>
    <w:rsid w:val="001C421A"/>
    <w:rsid w:val="001C4B7D"/>
    <w:rsid w:val="001C59A0"/>
    <w:rsid w:val="001C5D67"/>
    <w:rsid w:val="001C5FC7"/>
    <w:rsid w:val="001C69AE"/>
    <w:rsid w:val="001C71B9"/>
    <w:rsid w:val="001C7981"/>
    <w:rsid w:val="001D034F"/>
    <w:rsid w:val="001D04C1"/>
    <w:rsid w:val="001D1642"/>
    <w:rsid w:val="001D1AC2"/>
    <w:rsid w:val="001D2CF2"/>
    <w:rsid w:val="001D49A2"/>
    <w:rsid w:val="001D70EE"/>
    <w:rsid w:val="001D7501"/>
    <w:rsid w:val="001D75ED"/>
    <w:rsid w:val="001D77DE"/>
    <w:rsid w:val="001E199A"/>
    <w:rsid w:val="001E1B32"/>
    <w:rsid w:val="001E2405"/>
    <w:rsid w:val="001E34B8"/>
    <w:rsid w:val="001E3C93"/>
    <w:rsid w:val="001E47D2"/>
    <w:rsid w:val="001E5F7E"/>
    <w:rsid w:val="001E61B1"/>
    <w:rsid w:val="001E70D8"/>
    <w:rsid w:val="001E7538"/>
    <w:rsid w:val="001F08B0"/>
    <w:rsid w:val="001F09D7"/>
    <w:rsid w:val="001F1077"/>
    <w:rsid w:val="001F141B"/>
    <w:rsid w:val="001F1C71"/>
    <w:rsid w:val="001F212E"/>
    <w:rsid w:val="001F2288"/>
    <w:rsid w:val="001F342A"/>
    <w:rsid w:val="001F48E2"/>
    <w:rsid w:val="001F4C17"/>
    <w:rsid w:val="001F5975"/>
    <w:rsid w:val="001F5B83"/>
    <w:rsid w:val="001F6403"/>
    <w:rsid w:val="001F67CD"/>
    <w:rsid w:val="001F6C99"/>
    <w:rsid w:val="001F7CD3"/>
    <w:rsid w:val="001F7EFB"/>
    <w:rsid w:val="00201B1D"/>
    <w:rsid w:val="00202707"/>
    <w:rsid w:val="00203FBA"/>
    <w:rsid w:val="00204667"/>
    <w:rsid w:val="0020720B"/>
    <w:rsid w:val="00210327"/>
    <w:rsid w:val="00211D27"/>
    <w:rsid w:val="00217318"/>
    <w:rsid w:val="00217B0E"/>
    <w:rsid w:val="0022020D"/>
    <w:rsid w:val="00220314"/>
    <w:rsid w:val="0022049A"/>
    <w:rsid w:val="00223BCD"/>
    <w:rsid w:val="00224079"/>
    <w:rsid w:val="0022433A"/>
    <w:rsid w:val="002243F4"/>
    <w:rsid w:val="0022542C"/>
    <w:rsid w:val="00226260"/>
    <w:rsid w:val="00226558"/>
    <w:rsid w:val="0022685E"/>
    <w:rsid w:val="00227330"/>
    <w:rsid w:val="00231284"/>
    <w:rsid w:val="002316CE"/>
    <w:rsid w:val="002317B8"/>
    <w:rsid w:val="002317D8"/>
    <w:rsid w:val="00232352"/>
    <w:rsid w:val="002324AD"/>
    <w:rsid w:val="00232681"/>
    <w:rsid w:val="00232AC5"/>
    <w:rsid w:val="00232E8D"/>
    <w:rsid w:val="00233C94"/>
    <w:rsid w:val="00233CB2"/>
    <w:rsid w:val="00234289"/>
    <w:rsid w:val="002344F3"/>
    <w:rsid w:val="00234D4F"/>
    <w:rsid w:val="00236A14"/>
    <w:rsid w:val="00236B31"/>
    <w:rsid w:val="00236E9C"/>
    <w:rsid w:val="002370C8"/>
    <w:rsid w:val="0023799D"/>
    <w:rsid w:val="0024022A"/>
    <w:rsid w:val="00240B4B"/>
    <w:rsid w:val="0024160C"/>
    <w:rsid w:val="00241E8E"/>
    <w:rsid w:val="00242912"/>
    <w:rsid w:val="00242DC5"/>
    <w:rsid w:val="00245330"/>
    <w:rsid w:val="0024597E"/>
    <w:rsid w:val="00245B27"/>
    <w:rsid w:val="002463EE"/>
    <w:rsid w:val="00247F99"/>
    <w:rsid w:val="002502D6"/>
    <w:rsid w:val="00250F67"/>
    <w:rsid w:val="00251287"/>
    <w:rsid w:val="00251D9C"/>
    <w:rsid w:val="00253505"/>
    <w:rsid w:val="00253ADB"/>
    <w:rsid w:val="00255667"/>
    <w:rsid w:val="002558AC"/>
    <w:rsid w:val="00256B3A"/>
    <w:rsid w:val="00257282"/>
    <w:rsid w:val="00260BC0"/>
    <w:rsid w:val="00261175"/>
    <w:rsid w:val="00262D59"/>
    <w:rsid w:val="002639DE"/>
    <w:rsid w:val="00263F61"/>
    <w:rsid w:val="0026451A"/>
    <w:rsid w:val="0026494D"/>
    <w:rsid w:val="00264EA6"/>
    <w:rsid w:val="00266246"/>
    <w:rsid w:val="00267BAF"/>
    <w:rsid w:val="00270411"/>
    <w:rsid w:val="002706C5"/>
    <w:rsid w:val="002717C3"/>
    <w:rsid w:val="00271A4A"/>
    <w:rsid w:val="00271BDA"/>
    <w:rsid w:val="00272767"/>
    <w:rsid w:val="00273361"/>
    <w:rsid w:val="00273A48"/>
    <w:rsid w:val="00273BEB"/>
    <w:rsid w:val="00273EAE"/>
    <w:rsid w:val="00273EF0"/>
    <w:rsid w:val="0027476A"/>
    <w:rsid w:val="0027503A"/>
    <w:rsid w:val="002750B0"/>
    <w:rsid w:val="0027514A"/>
    <w:rsid w:val="0027515C"/>
    <w:rsid w:val="00275A0E"/>
    <w:rsid w:val="00276428"/>
    <w:rsid w:val="002767EC"/>
    <w:rsid w:val="00276CFF"/>
    <w:rsid w:val="00277166"/>
    <w:rsid w:val="0027752C"/>
    <w:rsid w:val="0027753B"/>
    <w:rsid w:val="00277F52"/>
    <w:rsid w:val="00280009"/>
    <w:rsid w:val="0028048A"/>
    <w:rsid w:val="00280A13"/>
    <w:rsid w:val="002818BC"/>
    <w:rsid w:val="00281989"/>
    <w:rsid w:val="00281FAA"/>
    <w:rsid w:val="00282E54"/>
    <w:rsid w:val="00283270"/>
    <w:rsid w:val="00283AB3"/>
    <w:rsid w:val="002843EC"/>
    <w:rsid w:val="00284C9B"/>
    <w:rsid w:val="00284FEF"/>
    <w:rsid w:val="00285243"/>
    <w:rsid w:val="002855E7"/>
    <w:rsid w:val="00285C2C"/>
    <w:rsid w:val="002862BD"/>
    <w:rsid w:val="002864B0"/>
    <w:rsid w:val="00287404"/>
    <w:rsid w:val="0028758F"/>
    <w:rsid w:val="0028778B"/>
    <w:rsid w:val="00287E6A"/>
    <w:rsid w:val="0029239C"/>
    <w:rsid w:val="00292B60"/>
    <w:rsid w:val="00292B74"/>
    <w:rsid w:val="00293858"/>
    <w:rsid w:val="002939F0"/>
    <w:rsid w:val="00293A5C"/>
    <w:rsid w:val="00293A62"/>
    <w:rsid w:val="00295910"/>
    <w:rsid w:val="00296071"/>
    <w:rsid w:val="00296419"/>
    <w:rsid w:val="002A0011"/>
    <w:rsid w:val="002A21BA"/>
    <w:rsid w:val="002A30C1"/>
    <w:rsid w:val="002A3DE0"/>
    <w:rsid w:val="002A4706"/>
    <w:rsid w:val="002A59A6"/>
    <w:rsid w:val="002A7CFF"/>
    <w:rsid w:val="002B0681"/>
    <w:rsid w:val="002B11C2"/>
    <w:rsid w:val="002B1992"/>
    <w:rsid w:val="002B2D6A"/>
    <w:rsid w:val="002B2E6D"/>
    <w:rsid w:val="002B5633"/>
    <w:rsid w:val="002B5911"/>
    <w:rsid w:val="002B59F0"/>
    <w:rsid w:val="002B6032"/>
    <w:rsid w:val="002B754F"/>
    <w:rsid w:val="002C0202"/>
    <w:rsid w:val="002C50A8"/>
    <w:rsid w:val="002C6C25"/>
    <w:rsid w:val="002C72C4"/>
    <w:rsid w:val="002D0006"/>
    <w:rsid w:val="002D15BC"/>
    <w:rsid w:val="002D17FF"/>
    <w:rsid w:val="002D1E4B"/>
    <w:rsid w:val="002D536C"/>
    <w:rsid w:val="002D553C"/>
    <w:rsid w:val="002D5799"/>
    <w:rsid w:val="002D632C"/>
    <w:rsid w:val="002D685E"/>
    <w:rsid w:val="002D697E"/>
    <w:rsid w:val="002D6BCE"/>
    <w:rsid w:val="002D7054"/>
    <w:rsid w:val="002E01CD"/>
    <w:rsid w:val="002E0634"/>
    <w:rsid w:val="002E094E"/>
    <w:rsid w:val="002E13C9"/>
    <w:rsid w:val="002E1564"/>
    <w:rsid w:val="002E16DA"/>
    <w:rsid w:val="002E1801"/>
    <w:rsid w:val="002E1D88"/>
    <w:rsid w:val="002E2FEF"/>
    <w:rsid w:val="002E359D"/>
    <w:rsid w:val="002E3D06"/>
    <w:rsid w:val="002E45E3"/>
    <w:rsid w:val="002E680E"/>
    <w:rsid w:val="002E6F2D"/>
    <w:rsid w:val="002F07F1"/>
    <w:rsid w:val="002F11DE"/>
    <w:rsid w:val="002F277F"/>
    <w:rsid w:val="002F2B14"/>
    <w:rsid w:val="002F2D3E"/>
    <w:rsid w:val="002F34F6"/>
    <w:rsid w:val="002F3DD4"/>
    <w:rsid w:val="002F3F92"/>
    <w:rsid w:val="002F3FB2"/>
    <w:rsid w:val="002F4F30"/>
    <w:rsid w:val="002F5234"/>
    <w:rsid w:val="002F5267"/>
    <w:rsid w:val="002F5B5E"/>
    <w:rsid w:val="002F6225"/>
    <w:rsid w:val="002F6FB7"/>
    <w:rsid w:val="002F780A"/>
    <w:rsid w:val="002F7E15"/>
    <w:rsid w:val="0030058B"/>
    <w:rsid w:val="00301225"/>
    <w:rsid w:val="0030229B"/>
    <w:rsid w:val="00302320"/>
    <w:rsid w:val="00303612"/>
    <w:rsid w:val="003069B1"/>
    <w:rsid w:val="00306A02"/>
    <w:rsid w:val="00307962"/>
    <w:rsid w:val="00311717"/>
    <w:rsid w:val="00311CE7"/>
    <w:rsid w:val="00312DCF"/>
    <w:rsid w:val="003131C3"/>
    <w:rsid w:val="00313319"/>
    <w:rsid w:val="00313C21"/>
    <w:rsid w:val="003143AE"/>
    <w:rsid w:val="00314BA3"/>
    <w:rsid w:val="00315C50"/>
    <w:rsid w:val="00317A28"/>
    <w:rsid w:val="00320EE9"/>
    <w:rsid w:val="00321896"/>
    <w:rsid w:val="00322244"/>
    <w:rsid w:val="00322F87"/>
    <w:rsid w:val="003236BD"/>
    <w:rsid w:val="00324408"/>
    <w:rsid w:val="00324633"/>
    <w:rsid w:val="003248F6"/>
    <w:rsid w:val="00326159"/>
    <w:rsid w:val="003270EF"/>
    <w:rsid w:val="003313E3"/>
    <w:rsid w:val="003318BF"/>
    <w:rsid w:val="00331912"/>
    <w:rsid w:val="0033262E"/>
    <w:rsid w:val="00332E40"/>
    <w:rsid w:val="00332E49"/>
    <w:rsid w:val="00332FCE"/>
    <w:rsid w:val="003338DC"/>
    <w:rsid w:val="00333DDA"/>
    <w:rsid w:val="00333F1D"/>
    <w:rsid w:val="00334349"/>
    <w:rsid w:val="003344FB"/>
    <w:rsid w:val="00334898"/>
    <w:rsid w:val="003350D4"/>
    <w:rsid w:val="00335240"/>
    <w:rsid w:val="0033561B"/>
    <w:rsid w:val="0033598E"/>
    <w:rsid w:val="0033658E"/>
    <w:rsid w:val="00342E1A"/>
    <w:rsid w:val="00343A64"/>
    <w:rsid w:val="003440C0"/>
    <w:rsid w:val="00344B6B"/>
    <w:rsid w:val="00345098"/>
    <w:rsid w:val="00346B00"/>
    <w:rsid w:val="003479AD"/>
    <w:rsid w:val="00350898"/>
    <w:rsid w:val="00350A63"/>
    <w:rsid w:val="003510F4"/>
    <w:rsid w:val="003514DA"/>
    <w:rsid w:val="0035358F"/>
    <w:rsid w:val="0035386A"/>
    <w:rsid w:val="00354D21"/>
    <w:rsid w:val="00355C13"/>
    <w:rsid w:val="00355C4F"/>
    <w:rsid w:val="0035757C"/>
    <w:rsid w:val="00357E30"/>
    <w:rsid w:val="003600EB"/>
    <w:rsid w:val="00360270"/>
    <w:rsid w:val="00360813"/>
    <w:rsid w:val="003608ED"/>
    <w:rsid w:val="00362032"/>
    <w:rsid w:val="00362ABA"/>
    <w:rsid w:val="00362AE8"/>
    <w:rsid w:val="0036354B"/>
    <w:rsid w:val="003635AE"/>
    <w:rsid w:val="003635C9"/>
    <w:rsid w:val="00365E50"/>
    <w:rsid w:val="0036605B"/>
    <w:rsid w:val="003677B0"/>
    <w:rsid w:val="003677C9"/>
    <w:rsid w:val="00367E96"/>
    <w:rsid w:val="00370CAF"/>
    <w:rsid w:val="003710CD"/>
    <w:rsid w:val="00371F66"/>
    <w:rsid w:val="00372290"/>
    <w:rsid w:val="00372A02"/>
    <w:rsid w:val="00373FCC"/>
    <w:rsid w:val="003741A1"/>
    <w:rsid w:val="0037465E"/>
    <w:rsid w:val="003748A2"/>
    <w:rsid w:val="00374E7B"/>
    <w:rsid w:val="00375D5C"/>
    <w:rsid w:val="00376AE5"/>
    <w:rsid w:val="00376C1C"/>
    <w:rsid w:val="00377616"/>
    <w:rsid w:val="00377B29"/>
    <w:rsid w:val="00377BBD"/>
    <w:rsid w:val="00380DF3"/>
    <w:rsid w:val="00381738"/>
    <w:rsid w:val="003817B4"/>
    <w:rsid w:val="00381B4E"/>
    <w:rsid w:val="003834D8"/>
    <w:rsid w:val="00384D80"/>
    <w:rsid w:val="0038597D"/>
    <w:rsid w:val="00385F71"/>
    <w:rsid w:val="00386A88"/>
    <w:rsid w:val="00386C6B"/>
    <w:rsid w:val="00386EEC"/>
    <w:rsid w:val="00386F33"/>
    <w:rsid w:val="00386FA4"/>
    <w:rsid w:val="0039046A"/>
    <w:rsid w:val="00390D5F"/>
    <w:rsid w:val="00391F09"/>
    <w:rsid w:val="00393349"/>
    <w:rsid w:val="00393BFA"/>
    <w:rsid w:val="003958B7"/>
    <w:rsid w:val="003977E4"/>
    <w:rsid w:val="003A0642"/>
    <w:rsid w:val="003A164A"/>
    <w:rsid w:val="003A1A6E"/>
    <w:rsid w:val="003A1DFD"/>
    <w:rsid w:val="003A25EE"/>
    <w:rsid w:val="003A362C"/>
    <w:rsid w:val="003A581D"/>
    <w:rsid w:val="003A5C01"/>
    <w:rsid w:val="003A62DE"/>
    <w:rsid w:val="003A6F0D"/>
    <w:rsid w:val="003B069D"/>
    <w:rsid w:val="003B1379"/>
    <w:rsid w:val="003B1649"/>
    <w:rsid w:val="003B2181"/>
    <w:rsid w:val="003B37B0"/>
    <w:rsid w:val="003B402C"/>
    <w:rsid w:val="003B4FEE"/>
    <w:rsid w:val="003B6470"/>
    <w:rsid w:val="003B6822"/>
    <w:rsid w:val="003B7862"/>
    <w:rsid w:val="003C007A"/>
    <w:rsid w:val="003C01BD"/>
    <w:rsid w:val="003C1949"/>
    <w:rsid w:val="003C2CBF"/>
    <w:rsid w:val="003C2D08"/>
    <w:rsid w:val="003C30B7"/>
    <w:rsid w:val="003C3252"/>
    <w:rsid w:val="003C45DD"/>
    <w:rsid w:val="003C47EC"/>
    <w:rsid w:val="003C55E8"/>
    <w:rsid w:val="003C59A8"/>
    <w:rsid w:val="003C7414"/>
    <w:rsid w:val="003D0E09"/>
    <w:rsid w:val="003D1669"/>
    <w:rsid w:val="003D2779"/>
    <w:rsid w:val="003D4C99"/>
    <w:rsid w:val="003D55B8"/>
    <w:rsid w:val="003D5BAB"/>
    <w:rsid w:val="003D5FF8"/>
    <w:rsid w:val="003D6D1E"/>
    <w:rsid w:val="003D798B"/>
    <w:rsid w:val="003E0EB0"/>
    <w:rsid w:val="003E26E8"/>
    <w:rsid w:val="003E386D"/>
    <w:rsid w:val="003E3919"/>
    <w:rsid w:val="003E3E09"/>
    <w:rsid w:val="003E441B"/>
    <w:rsid w:val="003E44A9"/>
    <w:rsid w:val="003E4B3C"/>
    <w:rsid w:val="003E4D72"/>
    <w:rsid w:val="003E59A4"/>
    <w:rsid w:val="003E5AA5"/>
    <w:rsid w:val="003E5B13"/>
    <w:rsid w:val="003E6287"/>
    <w:rsid w:val="003E74FB"/>
    <w:rsid w:val="003E7EE9"/>
    <w:rsid w:val="003F195F"/>
    <w:rsid w:val="003F1A9D"/>
    <w:rsid w:val="003F2BB6"/>
    <w:rsid w:val="003F3A64"/>
    <w:rsid w:val="003F5022"/>
    <w:rsid w:val="003F527E"/>
    <w:rsid w:val="003F5757"/>
    <w:rsid w:val="003F6408"/>
    <w:rsid w:val="003F6A4F"/>
    <w:rsid w:val="003F6DC9"/>
    <w:rsid w:val="003F79AC"/>
    <w:rsid w:val="003F7B97"/>
    <w:rsid w:val="003F7DBE"/>
    <w:rsid w:val="003F7F19"/>
    <w:rsid w:val="00401F33"/>
    <w:rsid w:val="00402812"/>
    <w:rsid w:val="004029D8"/>
    <w:rsid w:val="004050D4"/>
    <w:rsid w:val="00405122"/>
    <w:rsid w:val="004055A1"/>
    <w:rsid w:val="00406392"/>
    <w:rsid w:val="004104FC"/>
    <w:rsid w:val="004111DF"/>
    <w:rsid w:val="00411E06"/>
    <w:rsid w:val="00412AC0"/>
    <w:rsid w:val="0041397A"/>
    <w:rsid w:val="00413DB0"/>
    <w:rsid w:val="004164D2"/>
    <w:rsid w:val="00421651"/>
    <w:rsid w:val="00421AE8"/>
    <w:rsid w:val="004225D6"/>
    <w:rsid w:val="0042278D"/>
    <w:rsid w:val="00423FA9"/>
    <w:rsid w:val="00425DC1"/>
    <w:rsid w:val="00425E2E"/>
    <w:rsid w:val="00426442"/>
    <w:rsid w:val="00426993"/>
    <w:rsid w:val="00426AB9"/>
    <w:rsid w:val="0042707B"/>
    <w:rsid w:val="00430778"/>
    <w:rsid w:val="00430B11"/>
    <w:rsid w:val="00431678"/>
    <w:rsid w:val="00431BCB"/>
    <w:rsid w:val="00431F63"/>
    <w:rsid w:val="0043224B"/>
    <w:rsid w:val="0043237B"/>
    <w:rsid w:val="00432A76"/>
    <w:rsid w:val="00433729"/>
    <w:rsid w:val="00437988"/>
    <w:rsid w:val="00440A25"/>
    <w:rsid w:val="00442B3E"/>
    <w:rsid w:val="00442EEE"/>
    <w:rsid w:val="00444046"/>
    <w:rsid w:val="00445A69"/>
    <w:rsid w:val="00446113"/>
    <w:rsid w:val="00446246"/>
    <w:rsid w:val="00446E2D"/>
    <w:rsid w:val="004518CE"/>
    <w:rsid w:val="00452677"/>
    <w:rsid w:val="00453199"/>
    <w:rsid w:val="004542A0"/>
    <w:rsid w:val="00454B33"/>
    <w:rsid w:val="004566C9"/>
    <w:rsid w:val="004571AE"/>
    <w:rsid w:val="004572FD"/>
    <w:rsid w:val="00457D10"/>
    <w:rsid w:val="004616E1"/>
    <w:rsid w:val="00462244"/>
    <w:rsid w:val="004639BD"/>
    <w:rsid w:val="00463D59"/>
    <w:rsid w:val="0046447E"/>
    <w:rsid w:val="004654B7"/>
    <w:rsid w:val="004655E9"/>
    <w:rsid w:val="00466757"/>
    <w:rsid w:val="00467080"/>
    <w:rsid w:val="00467436"/>
    <w:rsid w:val="004676D8"/>
    <w:rsid w:val="00467A47"/>
    <w:rsid w:val="00470F87"/>
    <w:rsid w:val="00470FE2"/>
    <w:rsid w:val="004714D0"/>
    <w:rsid w:val="004715B7"/>
    <w:rsid w:val="004728FD"/>
    <w:rsid w:val="00472EBD"/>
    <w:rsid w:val="004732A3"/>
    <w:rsid w:val="00473A99"/>
    <w:rsid w:val="00473F30"/>
    <w:rsid w:val="00474134"/>
    <w:rsid w:val="00475652"/>
    <w:rsid w:val="004756E9"/>
    <w:rsid w:val="00475B94"/>
    <w:rsid w:val="00476369"/>
    <w:rsid w:val="0047665E"/>
    <w:rsid w:val="00480BB7"/>
    <w:rsid w:val="00480C2D"/>
    <w:rsid w:val="00481280"/>
    <w:rsid w:val="004814B7"/>
    <w:rsid w:val="00482272"/>
    <w:rsid w:val="00482629"/>
    <w:rsid w:val="004851D0"/>
    <w:rsid w:val="00487372"/>
    <w:rsid w:val="00490F07"/>
    <w:rsid w:val="00492597"/>
    <w:rsid w:val="00493C96"/>
    <w:rsid w:val="00495D5E"/>
    <w:rsid w:val="004969F3"/>
    <w:rsid w:val="00497371"/>
    <w:rsid w:val="004976B6"/>
    <w:rsid w:val="00497A87"/>
    <w:rsid w:val="004A01F2"/>
    <w:rsid w:val="004A0773"/>
    <w:rsid w:val="004A151D"/>
    <w:rsid w:val="004A1CF0"/>
    <w:rsid w:val="004A293D"/>
    <w:rsid w:val="004A2F52"/>
    <w:rsid w:val="004A3F1A"/>
    <w:rsid w:val="004A4AF0"/>
    <w:rsid w:val="004A5ECD"/>
    <w:rsid w:val="004A5F7D"/>
    <w:rsid w:val="004A631A"/>
    <w:rsid w:val="004A66EE"/>
    <w:rsid w:val="004A6FDD"/>
    <w:rsid w:val="004A7BDD"/>
    <w:rsid w:val="004B0466"/>
    <w:rsid w:val="004B06B1"/>
    <w:rsid w:val="004B083A"/>
    <w:rsid w:val="004B0E30"/>
    <w:rsid w:val="004B154F"/>
    <w:rsid w:val="004B1FE8"/>
    <w:rsid w:val="004B37CE"/>
    <w:rsid w:val="004B4722"/>
    <w:rsid w:val="004B4EF7"/>
    <w:rsid w:val="004B5801"/>
    <w:rsid w:val="004B5CE1"/>
    <w:rsid w:val="004C0453"/>
    <w:rsid w:val="004C0E3F"/>
    <w:rsid w:val="004C3209"/>
    <w:rsid w:val="004C32D9"/>
    <w:rsid w:val="004C3971"/>
    <w:rsid w:val="004C3E1A"/>
    <w:rsid w:val="004C425D"/>
    <w:rsid w:val="004C46D4"/>
    <w:rsid w:val="004C5D3C"/>
    <w:rsid w:val="004C618D"/>
    <w:rsid w:val="004C6391"/>
    <w:rsid w:val="004C72E8"/>
    <w:rsid w:val="004C7414"/>
    <w:rsid w:val="004C7F4E"/>
    <w:rsid w:val="004D0929"/>
    <w:rsid w:val="004D19E8"/>
    <w:rsid w:val="004D1DB4"/>
    <w:rsid w:val="004D2CF0"/>
    <w:rsid w:val="004D353A"/>
    <w:rsid w:val="004D3901"/>
    <w:rsid w:val="004D4252"/>
    <w:rsid w:val="004D46C1"/>
    <w:rsid w:val="004D471F"/>
    <w:rsid w:val="004D4884"/>
    <w:rsid w:val="004D5261"/>
    <w:rsid w:val="004D642F"/>
    <w:rsid w:val="004D64A7"/>
    <w:rsid w:val="004D6A00"/>
    <w:rsid w:val="004D6D32"/>
    <w:rsid w:val="004D6F5F"/>
    <w:rsid w:val="004E02FE"/>
    <w:rsid w:val="004E1388"/>
    <w:rsid w:val="004E1518"/>
    <w:rsid w:val="004E2F3E"/>
    <w:rsid w:val="004E3220"/>
    <w:rsid w:val="004E4028"/>
    <w:rsid w:val="004E4947"/>
    <w:rsid w:val="004E4BA7"/>
    <w:rsid w:val="004E5733"/>
    <w:rsid w:val="004E5D0C"/>
    <w:rsid w:val="004E6093"/>
    <w:rsid w:val="004E775C"/>
    <w:rsid w:val="004E7DAF"/>
    <w:rsid w:val="004F0D77"/>
    <w:rsid w:val="004F0E77"/>
    <w:rsid w:val="004F136F"/>
    <w:rsid w:val="004F14B8"/>
    <w:rsid w:val="004F1D7A"/>
    <w:rsid w:val="004F2791"/>
    <w:rsid w:val="004F2F01"/>
    <w:rsid w:val="004F40B2"/>
    <w:rsid w:val="004F4ABC"/>
    <w:rsid w:val="004F65BD"/>
    <w:rsid w:val="004F6B89"/>
    <w:rsid w:val="004F77A1"/>
    <w:rsid w:val="004F77B3"/>
    <w:rsid w:val="004F77DE"/>
    <w:rsid w:val="004F7C11"/>
    <w:rsid w:val="00500B87"/>
    <w:rsid w:val="00500C2C"/>
    <w:rsid w:val="005036DE"/>
    <w:rsid w:val="005037D1"/>
    <w:rsid w:val="00506C3A"/>
    <w:rsid w:val="00507B30"/>
    <w:rsid w:val="00507BE5"/>
    <w:rsid w:val="00507F05"/>
    <w:rsid w:val="00510990"/>
    <w:rsid w:val="00511C86"/>
    <w:rsid w:val="00512E50"/>
    <w:rsid w:val="00513558"/>
    <w:rsid w:val="0051407F"/>
    <w:rsid w:val="00514119"/>
    <w:rsid w:val="0051476C"/>
    <w:rsid w:val="00515A15"/>
    <w:rsid w:val="00516083"/>
    <w:rsid w:val="00516BE2"/>
    <w:rsid w:val="00520176"/>
    <w:rsid w:val="00520D9B"/>
    <w:rsid w:val="00520E59"/>
    <w:rsid w:val="00522483"/>
    <w:rsid w:val="0052248E"/>
    <w:rsid w:val="005228C4"/>
    <w:rsid w:val="00522B9B"/>
    <w:rsid w:val="00524092"/>
    <w:rsid w:val="00524D6D"/>
    <w:rsid w:val="005262FC"/>
    <w:rsid w:val="00526421"/>
    <w:rsid w:val="0052677E"/>
    <w:rsid w:val="00530380"/>
    <w:rsid w:val="00530B70"/>
    <w:rsid w:val="0053135B"/>
    <w:rsid w:val="00531DDF"/>
    <w:rsid w:val="00531E8F"/>
    <w:rsid w:val="005321BA"/>
    <w:rsid w:val="00534B7C"/>
    <w:rsid w:val="00534DEC"/>
    <w:rsid w:val="0053561A"/>
    <w:rsid w:val="00535696"/>
    <w:rsid w:val="0053634A"/>
    <w:rsid w:val="0053645B"/>
    <w:rsid w:val="00536D29"/>
    <w:rsid w:val="0054087A"/>
    <w:rsid w:val="005416E9"/>
    <w:rsid w:val="00541D26"/>
    <w:rsid w:val="00541E8E"/>
    <w:rsid w:val="005425FD"/>
    <w:rsid w:val="005426FB"/>
    <w:rsid w:val="005454BC"/>
    <w:rsid w:val="00545B73"/>
    <w:rsid w:val="005511B9"/>
    <w:rsid w:val="00551243"/>
    <w:rsid w:val="00552BEE"/>
    <w:rsid w:val="005537F1"/>
    <w:rsid w:val="00555489"/>
    <w:rsid w:val="005568A9"/>
    <w:rsid w:val="00557036"/>
    <w:rsid w:val="00557091"/>
    <w:rsid w:val="00557394"/>
    <w:rsid w:val="00557937"/>
    <w:rsid w:val="00560E4B"/>
    <w:rsid w:val="00561013"/>
    <w:rsid w:val="00563A79"/>
    <w:rsid w:val="00563FA2"/>
    <w:rsid w:val="005640F1"/>
    <w:rsid w:val="00565456"/>
    <w:rsid w:val="00566B16"/>
    <w:rsid w:val="005670B2"/>
    <w:rsid w:val="00567427"/>
    <w:rsid w:val="0056760A"/>
    <w:rsid w:val="00567C26"/>
    <w:rsid w:val="00570A59"/>
    <w:rsid w:val="005727B1"/>
    <w:rsid w:val="00572C03"/>
    <w:rsid w:val="00572C34"/>
    <w:rsid w:val="00573A9A"/>
    <w:rsid w:val="00575892"/>
    <w:rsid w:val="005759C6"/>
    <w:rsid w:val="00577A24"/>
    <w:rsid w:val="00577ABD"/>
    <w:rsid w:val="00581300"/>
    <w:rsid w:val="0058219E"/>
    <w:rsid w:val="005825EE"/>
    <w:rsid w:val="00584800"/>
    <w:rsid w:val="00584CF0"/>
    <w:rsid w:val="00585BDF"/>
    <w:rsid w:val="00586F73"/>
    <w:rsid w:val="00587791"/>
    <w:rsid w:val="005905E9"/>
    <w:rsid w:val="00590933"/>
    <w:rsid w:val="00591691"/>
    <w:rsid w:val="00591962"/>
    <w:rsid w:val="005921BC"/>
    <w:rsid w:val="00592773"/>
    <w:rsid w:val="00594845"/>
    <w:rsid w:val="005962B1"/>
    <w:rsid w:val="005967DF"/>
    <w:rsid w:val="00596A0A"/>
    <w:rsid w:val="00596EEE"/>
    <w:rsid w:val="005A056D"/>
    <w:rsid w:val="005A3018"/>
    <w:rsid w:val="005A44AE"/>
    <w:rsid w:val="005A52FD"/>
    <w:rsid w:val="005A552E"/>
    <w:rsid w:val="005A5702"/>
    <w:rsid w:val="005A5D69"/>
    <w:rsid w:val="005A683E"/>
    <w:rsid w:val="005A6B64"/>
    <w:rsid w:val="005B0BD3"/>
    <w:rsid w:val="005B0DC4"/>
    <w:rsid w:val="005B0E07"/>
    <w:rsid w:val="005B1A07"/>
    <w:rsid w:val="005B2EEA"/>
    <w:rsid w:val="005B2FBF"/>
    <w:rsid w:val="005B4FA1"/>
    <w:rsid w:val="005B565F"/>
    <w:rsid w:val="005B5D21"/>
    <w:rsid w:val="005B5E82"/>
    <w:rsid w:val="005B6482"/>
    <w:rsid w:val="005B6D57"/>
    <w:rsid w:val="005B7CA9"/>
    <w:rsid w:val="005C12E1"/>
    <w:rsid w:val="005C2AA8"/>
    <w:rsid w:val="005C3231"/>
    <w:rsid w:val="005C4E1C"/>
    <w:rsid w:val="005C54AD"/>
    <w:rsid w:val="005C5D44"/>
    <w:rsid w:val="005C6B40"/>
    <w:rsid w:val="005C6DED"/>
    <w:rsid w:val="005C6F88"/>
    <w:rsid w:val="005C75AC"/>
    <w:rsid w:val="005D012E"/>
    <w:rsid w:val="005D0795"/>
    <w:rsid w:val="005D0FAD"/>
    <w:rsid w:val="005D3211"/>
    <w:rsid w:val="005D32EB"/>
    <w:rsid w:val="005D35A4"/>
    <w:rsid w:val="005D434C"/>
    <w:rsid w:val="005D623F"/>
    <w:rsid w:val="005D625D"/>
    <w:rsid w:val="005D64CA"/>
    <w:rsid w:val="005E08F7"/>
    <w:rsid w:val="005E2243"/>
    <w:rsid w:val="005E25D7"/>
    <w:rsid w:val="005E283A"/>
    <w:rsid w:val="005E3D72"/>
    <w:rsid w:val="005E3FA5"/>
    <w:rsid w:val="005E60C6"/>
    <w:rsid w:val="005E657B"/>
    <w:rsid w:val="005E7170"/>
    <w:rsid w:val="005F0283"/>
    <w:rsid w:val="005F04BE"/>
    <w:rsid w:val="005F0EFF"/>
    <w:rsid w:val="005F10BF"/>
    <w:rsid w:val="005F1727"/>
    <w:rsid w:val="005F1BDC"/>
    <w:rsid w:val="005F1EFE"/>
    <w:rsid w:val="005F2553"/>
    <w:rsid w:val="005F276C"/>
    <w:rsid w:val="005F361F"/>
    <w:rsid w:val="005F3D1D"/>
    <w:rsid w:val="005F423D"/>
    <w:rsid w:val="005F577B"/>
    <w:rsid w:val="005F587D"/>
    <w:rsid w:val="005F6491"/>
    <w:rsid w:val="005F6881"/>
    <w:rsid w:val="005F6D27"/>
    <w:rsid w:val="005F6F7B"/>
    <w:rsid w:val="005F783D"/>
    <w:rsid w:val="005F7D50"/>
    <w:rsid w:val="0060069C"/>
    <w:rsid w:val="006012C9"/>
    <w:rsid w:val="00601EB2"/>
    <w:rsid w:val="006024E9"/>
    <w:rsid w:val="0060254F"/>
    <w:rsid w:val="00602E89"/>
    <w:rsid w:val="00603986"/>
    <w:rsid w:val="00605934"/>
    <w:rsid w:val="00605C43"/>
    <w:rsid w:val="00605F44"/>
    <w:rsid w:val="006064AD"/>
    <w:rsid w:val="00606A08"/>
    <w:rsid w:val="00606ECD"/>
    <w:rsid w:val="006070B9"/>
    <w:rsid w:val="006073F7"/>
    <w:rsid w:val="00607DA2"/>
    <w:rsid w:val="00610E5D"/>
    <w:rsid w:val="00611651"/>
    <w:rsid w:val="00611A65"/>
    <w:rsid w:val="006121B9"/>
    <w:rsid w:val="006142E6"/>
    <w:rsid w:val="006148A2"/>
    <w:rsid w:val="00615DF8"/>
    <w:rsid w:val="00616FAE"/>
    <w:rsid w:val="0061781A"/>
    <w:rsid w:val="006201D8"/>
    <w:rsid w:val="00620555"/>
    <w:rsid w:val="00620925"/>
    <w:rsid w:val="006213F7"/>
    <w:rsid w:val="00622106"/>
    <w:rsid w:val="006257A0"/>
    <w:rsid w:val="00625FE2"/>
    <w:rsid w:val="00630490"/>
    <w:rsid w:val="00630528"/>
    <w:rsid w:val="006305F3"/>
    <w:rsid w:val="00630D7E"/>
    <w:rsid w:val="006316B8"/>
    <w:rsid w:val="0063287A"/>
    <w:rsid w:val="00633534"/>
    <w:rsid w:val="00633DDC"/>
    <w:rsid w:val="006341C8"/>
    <w:rsid w:val="006375D8"/>
    <w:rsid w:val="00637726"/>
    <w:rsid w:val="00637861"/>
    <w:rsid w:val="00637868"/>
    <w:rsid w:val="006378D8"/>
    <w:rsid w:val="0064108D"/>
    <w:rsid w:val="0064190A"/>
    <w:rsid w:val="00642754"/>
    <w:rsid w:val="00642783"/>
    <w:rsid w:val="00651247"/>
    <w:rsid w:val="006528C5"/>
    <w:rsid w:val="00652F30"/>
    <w:rsid w:val="00653B62"/>
    <w:rsid w:val="00653CDD"/>
    <w:rsid w:val="00655CB7"/>
    <w:rsid w:val="006572AE"/>
    <w:rsid w:val="00660138"/>
    <w:rsid w:val="0066069D"/>
    <w:rsid w:val="006606DB"/>
    <w:rsid w:val="00660F89"/>
    <w:rsid w:val="0066127D"/>
    <w:rsid w:val="00661520"/>
    <w:rsid w:val="00661A40"/>
    <w:rsid w:val="0066243D"/>
    <w:rsid w:val="006630F7"/>
    <w:rsid w:val="00664CB4"/>
    <w:rsid w:val="00664CE9"/>
    <w:rsid w:val="00665564"/>
    <w:rsid w:val="00666E2E"/>
    <w:rsid w:val="0067007C"/>
    <w:rsid w:val="00670424"/>
    <w:rsid w:val="00670CC0"/>
    <w:rsid w:val="006751A1"/>
    <w:rsid w:val="00675D93"/>
    <w:rsid w:val="00677236"/>
    <w:rsid w:val="00677981"/>
    <w:rsid w:val="00677BFE"/>
    <w:rsid w:val="0068226F"/>
    <w:rsid w:val="006829D5"/>
    <w:rsid w:val="00683552"/>
    <w:rsid w:val="00685116"/>
    <w:rsid w:val="006869B3"/>
    <w:rsid w:val="00686B47"/>
    <w:rsid w:val="00687766"/>
    <w:rsid w:val="00687C3C"/>
    <w:rsid w:val="00687D07"/>
    <w:rsid w:val="00691844"/>
    <w:rsid w:val="00691F32"/>
    <w:rsid w:val="00692E9E"/>
    <w:rsid w:val="00693370"/>
    <w:rsid w:val="00694B9F"/>
    <w:rsid w:val="00695B7D"/>
    <w:rsid w:val="00696CE9"/>
    <w:rsid w:val="00697FCB"/>
    <w:rsid w:val="006A231D"/>
    <w:rsid w:val="006A236D"/>
    <w:rsid w:val="006A2986"/>
    <w:rsid w:val="006A3BB0"/>
    <w:rsid w:val="006A4A2B"/>
    <w:rsid w:val="006A4F09"/>
    <w:rsid w:val="006A5164"/>
    <w:rsid w:val="006A576F"/>
    <w:rsid w:val="006A5A07"/>
    <w:rsid w:val="006A76DA"/>
    <w:rsid w:val="006A7C46"/>
    <w:rsid w:val="006B0C2F"/>
    <w:rsid w:val="006B151D"/>
    <w:rsid w:val="006B156D"/>
    <w:rsid w:val="006B1ABE"/>
    <w:rsid w:val="006B1E40"/>
    <w:rsid w:val="006B1E70"/>
    <w:rsid w:val="006B2981"/>
    <w:rsid w:val="006B2CD6"/>
    <w:rsid w:val="006B2E90"/>
    <w:rsid w:val="006B47C0"/>
    <w:rsid w:val="006B4E19"/>
    <w:rsid w:val="006B6CF3"/>
    <w:rsid w:val="006B7D1E"/>
    <w:rsid w:val="006C00BB"/>
    <w:rsid w:val="006C0503"/>
    <w:rsid w:val="006C0882"/>
    <w:rsid w:val="006C124C"/>
    <w:rsid w:val="006C1B89"/>
    <w:rsid w:val="006C1CBF"/>
    <w:rsid w:val="006C2380"/>
    <w:rsid w:val="006C2F7D"/>
    <w:rsid w:val="006C334B"/>
    <w:rsid w:val="006C46C2"/>
    <w:rsid w:val="006C55DE"/>
    <w:rsid w:val="006C5853"/>
    <w:rsid w:val="006C59EB"/>
    <w:rsid w:val="006C5A21"/>
    <w:rsid w:val="006C6346"/>
    <w:rsid w:val="006C6F34"/>
    <w:rsid w:val="006C7D39"/>
    <w:rsid w:val="006C7E25"/>
    <w:rsid w:val="006D15C7"/>
    <w:rsid w:val="006D18E6"/>
    <w:rsid w:val="006D304B"/>
    <w:rsid w:val="006D52C9"/>
    <w:rsid w:val="006D641D"/>
    <w:rsid w:val="006D6A6F"/>
    <w:rsid w:val="006D6D65"/>
    <w:rsid w:val="006E1190"/>
    <w:rsid w:val="006E254A"/>
    <w:rsid w:val="006E2908"/>
    <w:rsid w:val="006E2BB2"/>
    <w:rsid w:val="006E444B"/>
    <w:rsid w:val="006E48A9"/>
    <w:rsid w:val="006E72D6"/>
    <w:rsid w:val="006E7426"/>
    <w:rsid w:val="006E784A"/>
    <w:rsid w:val="006F14D1"/>
    <w:rsid w:val="006F2D1E"/>
    <w:rsid w:val="006F4675"/>
    <w:rsid w:val="006F4A6A"/>
    <w:rsid w:val="006F4ECF"/>
    <w:rsid w:val="006F57AF"/>
    <w:rsid w:val="006F66ED"/>
    <w:rsid w:val="006F708D"/>
    <w:rsid w:val="006F70B6"/>
    <w:rsid w:val="006F75EE"/>
    <w:rsid w:val="006F7E09"/>
    <w:rsid w:val="0070005C"/>
    <w:rsid w:val="007003B1"/>
    <w:rsid w:val="007008C5"/>
    <w:rsid w:val="00700C8A"/>
    <w:rsid w:val="00701A14"/>
    <w:rsid w:val="00701FC7"/>
    <w:rsid w:val="0070222B"/>
    <w:rsid w:val="00702C95"/>
    <w:rsid w:val="00703497"/>
    <w:rsid w:val="00703BAE"/>
    <w:rsid w:val="007064DA"/>
    <w:rsid w:val="007075D4"/>
    <w:rsid w:val="00707C81"/>
    <w:rsid w:val="007104F3"/>
    <w:rsid w:val="007105BE"/>
    <w:rsid w:val="007108B5"/>
    <w:rsid w:val="00712113"/>
    <w:rsid w:val="00712436"/>
    <w:rsid w:val="007131FA"/>
    <w:rsid w:val="00714729"/>
    <w:rsid w:val="0071526E"/>
    <w:rsid w:val="00715925"/>
    <w:rsid w:val="00715983"/>
    <w:rsid w:val="00716FFF"/>
    <w:rsid w:val="007175C2"/>
    <w:rsid w:val="00721075"/>
    <w:rsid w:val="0072147B"/>
    <w:rsid w:val="007222BB"/>
    <w:rsid w:val="00722F96"/>
    <w:rsid w:val="00723E71"/>
    <w:rsid w:val="007247BB"/>
    <w:rsid w:val="0072488A"/>
    <w:rsid w:val="00726004"/>
    <w:rsid w:val="00726726"/>
    <w:rsid w:val="00726D9E"/>
    <w:rsid w:val="00727881"/>
    <w:rsid w:val="00730855"/>
    <w:rsid w:val="00730D1B"/>
    <w:rsid w:val="00731437"/>
    <w:rsid w:val="0073361E"/>
    <w:rsid w:val="00733B42"/>
    <w:rsid w:val="0073456E"/>
    <w:rsid w:val="0073474F"/>
    <w:rsid w:val="00734BFD"/>
    <w:rsid w:val="00735451"/>
    <w:rsid w:val="0073579A"/>
    <w:rsid w:val="00735D6F"/>
    <w:rsid w:val="007365AF"/>
    <w:rsid w:val="00736ED1"/>
    <w:rsid w:val="007379B6"/>
    <w:rsid w:val="00740129"/>
    <w:rsid w:val="007401AC"/>
    <w:rsid w:val="00742828"/>
    <w:rsid w:val="00743C1A"/>
    <w:rsid w:val="00744DB5"/>
    <w:rsid w:val="0074698C"/>
    <w:rsid w:val="00747DD3"/>
    <w:rsid w:val="00751939"/>
    <w:rsid w:val="0075195D"/>
    <w:rsid w:val="0075201A"/>
    <w:rsid w:val="00752A9A"/>
    <w:rsid w:val="00752FEB"/>
    <w:rsid w:val="0075382C"/>
    <w:rsid w:val="0075490A"/>
    <w:rsid w:val="0075590A"/>
    <w:rsid w:val="00755D90"/>
    <w:rsid w:val="00756D87"/>
    <w:rsid w:val="00756E82"/>
    <w:rsid w:val="0075785F"/>
    <w:rsid w:val="00760E67"/>
    <w:rsid w:val="007622E2"/>
    <w:rsid w:val="00762B79"/>
    <w:rsid w:val="00763049"/>
    <w:rsid w:val="007645AF"/>
    <w:rsid w:val="0076473F"/>
    <w:rsid w:val="00765226"/>
    <w:rsid w:val="00765245"/>
    <w:rsid w:val="00770EF5"/>
    <w:rsid w:val="0077108D"/>
    <w:rsid w:val="0077201B"/>
    <w:rsid w:val="00772222"/>
    <w:rsid w:val="00773040"/>
    <w:rsid w:val="007731DD"/>
    <w:rsid w:val="007736D4"/>
    <w:rsid w:val="00773764"/>
    <w:rsid w:val="007741DE"/>
    <w:rsid w:val="0077656C"/>
    <w:rsid w:val="00776902"/>
    <w:rsid w:val="00777B47"/>
    <w:rsid w:val="00780057"/>
    <w:rsid w:val="00780C44"/>
    <w:rsid w:val="007819DD"/>
    <w:rsid w:val="00781B87"/>
    <w:rsid w:val="00781E22"/>
    <w:rsid w:val="00782C22"/>
    <w:rsid w:val="00782ED4"/>
    <w:rsid w:val="00785BD8"/>
    <w:rsid w:val="007860E0"/>
    <w:rsid w:val="00786AC8"/>
    <w:rsid w:val="00787BB0"/>
    <w:rsid w:val="00791C7D"/>
    <w:rsid w:val="00792FC4"/>
    <w:rsid w:val="00793CDC"/>
    <w:rsid w:val="00793E76"/>
    <w:rsid w:val="0079405E"/>
    <w:rsid w:val="007951B2"/>
    <w:rsid w:val="00795E13"/>
    <w:rsid w:val="00796DA4"/>
    <w:rsid w:val="00796F48"/>
    <w:rsid w:val="007972C6"/>
    <w:rsid w:val="00797A94"/>
    <w:rsid w:val="007A1178"/>
    <w:rsid w:val="007A1287"/>
    <w:rsid w:val="007A5B7B"/>
    <w:rsid w:val="007A7434"/>
    <w:rsid w:val="007B0826"/>
    <w:rsid w:val="007B31BC"/>
    <w:rsid w:val="007B4C9D"/>
    <w:rsid w:val="007B7238"/>
    <w:rsid w:val="007C0FB1"/>
    <w:rsid w:val="007C15A7"/>
    <w:rsid w:val="007C246C"/>
    <w:rsid w:val="007C2FB4"/>
    <w:rsid w:val="007C3C91"/>
    <w:rsid w:val="007C43EA"/>
    <w:rsid w:val="007C46D5"/>
    <w:rsid w:val="007C5406"/>
    <w:rsid w:val="007C759B"/>
    <w:rsid w:val="007C766C"/>
    <w:rsid w:val="007C7F6B"/>
    <w:rsid w:val="007D0B18"/>
    <w:rsid w:val="007D0DDC"/>
    <w:rsid w:val="007D1432"/>
    <w:rsid w:val="007D31D8"/>
    <w:rsid w:val="007D54D0"/>
    <w:rsid w:val="007D6608"/>
    <w:rsid w:val="007D6732"/>
    <w:rsid w:val="007D768C"/>
    <w:rsid w:val="007D7C0A"/>
    <w:rsid w:val="007E0A0B"/>
    <w:rsid w:val="007E0CBC"/>
    <w:rsid w:val="007E213F"/>
    <w:rsid w:val="007E2E1B"/>
    <w:rsid w:val="007E3751"/>
    <w:rsid w:val="007E3BC8"/>
    <w:rsid w:val="007E41AC"/>
    <w:rsid w:val="007E4751"/>
    <w:rsid w:val="007E695B"/>
    <w:rsid w:val="007E6FD3"/>
    <w:rsid w:val="007E747A"/>
    <w:rsid w:val="007F0A9F"/>
    <w:rsid w:val="007F0E4F"/>
    <w:rsid w:val="007F0F96"/>
    <w:rsid w:val="007F17B6"/>
    <w:rsid w:val="007F1D4C"/>
    <w:rsid w:val="007F3744"/>
    <w:rsid w:val="007F3CFC"/>
    <w:rsid w:val="007F4969"/>
    <w:rsid w:val="007F5347"/>
    <w:rsid w:val="007F5669"/>
    <w:rsid w:val="007F70C0"/>
    <w:rsid w:val="007F7CB6"/>
    <w:rsid w:val="008006FB"/>
    <w:rsid w:val="008009FD"/>
    <w:rsid w:val="00802813"/>
    <w:rsid w:val="008036F5"/>
    <w:rsid w:val="0080489A"/>
    <w:rsid w:val="008053C0"/>
    <w:rsid w:val="00806B44"/>
    <w:rsid w:val="0080733B"/>
    <w:rsid w:val="0081038F"/>
    <w:rsid w:val="00810A43"/>
    <w:rsid w:val="0081188C"/>
    <w:rsid w:val="00812503"/>
    <w:rsid w:val="00812CAA"/>
    <w:rsid w:val="00812EFA"/>
    <w:rsid w:val="00813365"/>
    <w:rsid w:val="00813A57"/>
    <w:rsid w:val="008152C0"/>
    <w:rsid w:val="008157E4"/>
    <w:rsid w:val="00815A96"/>
    <w:rsid w:val="00815AD2"/>
    <w:rsid w:val="008160EB"/>
    <w:rsid w:val="008167FE"/>
    <w:rsid w:val="00816D0C"/>
    <w:rsid w:val="00817BD6"/>
    <w:rsid w:val="00817E29"/>
    <w:rsid w:val="008212C1"/>
    <w:rsid w:val="008215AE"/>
    <w:rsid w:val="008216FA"/>
    <w:rsid w:val="00821889"/>
    <w:rsid w:val="00821F55"/>
    <w:rsid w:val="00823E24"/>
    <w:rsid w:val="00826084"/>
    <w:rsid w:val="008262F9"/>
    <w:rsid w:val="008263B6"/>
    <w:rsid w:val="00826CEB"/>
    <w:rsid w:val="00827FD2"/>
    <w:rsid w:val="008303B5"/>
    <w:rsid w:val="00830BF7"/>
    <w:rsid w:val="00830E78"/>
    <w:rsid w:val="008318D6"/>
    <w:rsid w:val="00831BD7"/>
    <w:rsid w:val="00832F4E"/>
    <w:rsid w:val="00833325"/>
    <w:rsid w:val="00835FD8"/>
    <w:rsid w:val="00836A8E"/>
    <w:rsid w:val="00837FB0"/>
    <w:rsid w:val="008401E7"/>
    <w:rsid w:val="00840BE2"/>
    <w:rsid w:val="00841774"/>
    <w:rsid w:val="00841B5B"/>
    <w:rsid w:val="00844676"/>
    <w:rsid w:val="0084597A"/>
    <w:rsid w:val="008476E4"/>
    <w:rsid w:val="0085070D"/>
    <w:rsid w:val="0085258F"/>
    <w:rsid w:val="00852AE0"/>
    <w:rsid w:val="0085353C"/>
    <w:rsid w:val="00855544"/>
    <w:rsid w:val="0085600B"/>
    <w:rsid w:val="00856642"/>
    <w:rsid w:val="00856722"/>
    <w:rsid w:val="008577AE"/>
    <w:rsid w:val="00857A15"/>
    <w:rsid w:val="00860D09"/>
    <w:rsid w:val="00860FEA"/>
    <w:rsid w:val="00864F92"/>
    <w:rsid w:val="0086540A"/>
    <w:rsid w:val="00866730"/>
    <w:rsid w:val="00867937"/>
    <w:rsid w:val="00867A45"/>
    <w:rsid w:val="00871422"/>
    <w:rsid w:val="00871592"/>
    <w:rsid w:val="0087192F"/>
    <w:rsid w:val="00872E2F"/>
    <w:rsid w:val="008756DE"/>
    <w:rsid w:val="0087570B"/>
    <w:rsid w:val="00875E68"/>
    <w:rsid w:val="00876A24"/>
    <w:rsid w:val="00876DC7"/>
    <w:rsid w:val="00877197"/>
    <w:rsid w:val="008775BF"/>
    <w:rsid w:val="008805E4"/>
    <w:rsid w:val="008817A3"/>
    <w:rsid w:val="00881E54"/>
    <w:rsid w:val="0088349D"/>
    <w:rsid w:val="008839BB"/>
    <w:rsid w:val="00884B86"/>
    <w:rsid w:val="008862DB"/>
    <w:rsid w:val="00886D6A"/>
    <w:rsid w:val="00886D7E"/>
    <w:rsid w:val="008911E7"/>
    <w:rsid w:val="008913B8"/>
    <w:rsid w:val="00891EB6"/>
    <w:rsid w:val="00892035"/>
    <w:rsid w:val="00892306"/>
    <w:rsid w:val="0089254B"/>
    <w:rsid w:val="00892A85"/>
    <w:rsid w:val="00893184"/>
    <w:rsid w:val="00895269"/>
    <w:rsid w:val="00896040"/>
    <w:rsid w:val="008962A3"/>
    <w:rsid w:val="008978B3"/>
    <w:rsid w:val="008979D0"/>
    <w:rsid w:val="00897BF3"/>
    <w:rsid w:val="00897F82"/>
    <w:rsid w:val="008A003C"/>
    <w:rsid w:val="008A0658"/>
    <w:rsid w:val="008A270F"/>
    <w:rsid w:val="008A332B"/>
    <w:rsid w:val="008A3CBE"/>
    <w:rsid w:val="008A4008"/>
    <w:rsid w:val="008A5411"/>
    <w:rsid w:val="008A56B6"/>
    <w:rsid w:val="008A5E4E"/>
    <w:rsid w:val="008A6CB2"/>
    <w:rsid w:val="008A6DE9"/>
    <w:rsid w:val="008B2186"/>
    <w:rsid w:val="008B2417"/>
    <w:rsid w:val="008B2655"/>
    <w:rsid w:val="008B2987"/>
    <w:rsid w:val="008B2A34"/>
    <w:rsid w:val="008B2E6F"/>
    <w:rsid w:val="008B38C3"/>
    <w:rsid w:val="008B39F2"/>
    <w:rsid w:val="008B4140"/>
    <w:rsid w:val="008B4FF2"/>
    <w:rsid w:val="008B50D1"/>
    <w:rsid w:val="008B5DF5"/>
    <w:rsid w:val="008B6960"/>
    <w:rsid w:val="008B6F8C"/>
    <w:rsid w:val="008B7AA9"/>
    <w:rsid w:val="008B7DB7"/>
    <w:rsid w:val="008B7EF1"/>
    <w:rsid w:val="008C020B"/>
    <w:rsid w:val="008C0501"/>
    <w:rsid w:val="008C12DB"/>
    <w:rsid w:val="008C130E"/>
    <w:rsid w:val="008C13ED"/>
    <w:rsid w:val="008C42D8"/>
    <w:rsid w:val="008C4402"/>
    <w:rsid w:val="008C465B"/>
    <w:rsid w:val="008C47BE"/>
    <w:rsid w:val="008C5AB4"/>
    <w:rsid w:val="008C5C08"/>
    <w:rsid w:val="008C5F52"/>
    <w:rsid w:val="008C7973"/>
    <w:rsid w:val="008D054A"/>
    <w:rsid w:val="008D105B"/>
    <w:rsid w:val="008D1DA2"/>
    <w:rsid w:val="008D226D"/>
    <w:rsid w:val="008D36F8"/>
    <w:rsid w:val="008D38FF"/>
    <w:rsid w:val="008D4D21"/>
    <w:rsid w:val="008D5834"/>
    <w:rsid w:val="008E00E3"/>
    <w:rsid w:val="008E020D"/>
    <w:rsid w:val="008E0D62"/>
    <w:rsid w:val="008E14A3"/>
    <w:rsid w:val="008E19F0"/>
    <w:rsid w:val="008E1D0C"/>
    <w:rsid w:val="008E2D93"/>
    <w:rsid w:val="008E2F03"/>
    <w:rsid w:val="008E3764"/>
    <w:rsid w:val="008E5149"/>
    <w:rsid w:val="008E6CF2"/>
    <w:rsid w:val="008E723F"/>
    <w:rsid w:val="008E7D7E"/>
    <w:rsid w:val="008E7DFA"/>
    <w:rsid w:val="008F0658"/>
    <w:rsid w:val="008F23BA"/>
    <w:rsid w:val="008F367D"/>
    <w:rsid w:val="008F3708"/>
    <w:rsid w:val="008F4221"/>
    <w:rsid w:val="008F5172"/>
    <w:rsid w:val="008F53CE"/>
    <w:rsid w:val="008F5A6D"/>
    <w:rsid w:val="008F5F04"/>
    <w:rsid w:val="008F643E"/>
    <w:rsid w:val="008F74D6"/>
    <w:rsid w:val="008F7679"/>
    <w:rsid w:val="008F7BD2"/>
    <w:rsid w:val="00900652"/>
    <w:rsid w:val="009014DA"/>
    <w:rsid w:val="00902122"/>
    <w:rsid w:val="00902340"/>
    <w:rsid w:val="00902AC7"/>
    <w:rsid w:val="00902EFB"/>
    <w:rsid w:val="00903459"/>
    <w:rsid w:val="00903D7C"/>
    <w:rsid w:val="009047B8"/>
    <w:rsid w:val="00904E2D"/>
    <w:rsid w:val="00904EE9"/>
    <w:rsid w:val="0090669D"/>
    <w:rsid w:val="00906715"/>
    <w:rsid w:val="00906BDB"/>
    <w:rsid w:val="00910B37"/>
    <w:rsid w:val="00911A30"/>
    <w:rsid w:val="00912636"/>
    <w:rsid w:val="00913093"/>
    <w:rsid w:val="00913BBA"/>
    <w:rsid w:val="00915FF4"/>
    <w:rsid w:val="0091612C"/>
    <w:rsid w:val="009163EC"/>
    <w:rsid w:val="00917F15"/>
    <w:rsid w:val="009202E3"/>
    <w:rsid w:val="0092064D"/>
    <w:rsid w:val="00921561"/>
    <w:rsid w:val="0092372E"/>
    <w:rsid w:val="009239A6"/>
    <w:rsid w:val="00923DB1"/>
    <w:rsid w:val="009249F5"/>
    <w:rsid w:val="00924EB8"/>
    <w:rsid w:val="00926722"/>
    <w:rsid w:val="00926723"/>
    <w:rsid w:val="00926B3B"/>
    <w:rsid w:val="00927643"/>
    <w:rsid w:val="009277E1"/>
    <w:rsid w:val="00927968"/>
    <w:rsid w:val="00930BFB"/>
    <w:rsid w:val="009331A6"/>
    <w:rsid w:val="00934F6D"/>
    <w:rsid w:val="00935651"/>
    <w:rsid w:val="00935886"/>
    <w:rsid w:val="00935C3B"/>
    <w:rsid w:val="00936294"/>
    <w:rsid w:val="009363E6"/>
    <w:rsid w:val="009402BE"/>
    <w:rsid w:val="00941659"/>
    <w:rsid w:val="00943756"/>
    <w:rsid w:val="009440A4"/>
    <w:rsid w:val="009440EF"/>
    <w:rsid w:val="00944319"/>
    <w:rsid w:val="00944669"/>
    <w:rsid w:val="00944864"/>
    <w:rsid w:val="00945088"/>
    <w:rsid w:val="009471CF"/>
    <w:rsid w:val="0094779D"/>
    <w:rsid w:val="00947A28"/>
    <w:rsid w:val="00947A4C"/>
    <w:rsid w:val="00950A48"/>
    <w:rsid w:val="00950A4F"/>
    <w:rsid w:val="0095196B"/>
    <w:rsid w:val="00951C05"/>
    <w:rsid w:val="00952992"/>
    <w:rsid w:val="00953525"/>
    <w:rsid w:val="00953A8E"/>
    <w:rsid w:val="00954C15"/>
    <w:rsid w:val="00956344"/>
    <w:rsid w:val="00956495"/>
    <w:rsid w:val="00957224"/>
    <w:rsid w:val="0096012E"/>
    <w:rsid w:val="009603CB"/>
    <w:rsid w:val="00961140"/>
    <w:rsid w:val="0096170B"/>
    <w:rsid w:val="009629DF"/>
    <w:rsid w:val="0096368F"/>
    <w:rsid w:val="00963EDB"/>
    <w:rsid w:val="0096541B"/>
    <w:rsid w:val="00966E8A"/>
    <w:rsid w:val="00972178"/>
    <w:rsid w:val="0097257B"/>
    <w:rsid w:val="00974947"/>
    <w:rsid w:val="00974D01"/>
    <w:rsid w:val="00976FDB"/>
    <w:rsid w:val="0097799C"/>
    <w:rsid w:val="00980DCA"/>
    <w:rsid w:val="009821B5"/>
    <w:rsid w:val="00983032"/>
    <w:rsid w:val="0098368F"/>
    <w:rsid w:val="00983C8F"/>
    <w:rsid w:val="00983DC2"/>
    <w:rsid w:val="0098500F"/>
    <w:rsid w:val="00985153"/>
    <w:rsid w:val="00985853"/>
    <w:rsid w:val="00985DC6"/>
    <w:rsid w:val="00986512"/>
    <w:rsid w:val="00986A47"/>
    <w:rsid w:val="00986E7C"/>
    <w:rsid w:val="009877BA"/>
    <w:rsid w:val="00987BCC"/>
    <w:rsid w:val="00990125"/>
    <w:rsid w:val="00990FED"/>
    <w:rsid w:val="00990FFE"/>
    <w:rsid w:val="0099133D"/>
    <w:rsid w:val="0099304A"/>
    <w:rsid w:val="00994E85"/>
    <w:rsid w:val="00995697"/>
    <w:rsid w:val="0099603F"/>
    <w:rsid w:val="0099683E"/>
    <w:rsid w:val="00996A98"/>
    <w:rsid w:val="0099717D"/>
    <w:rsid w:val="00997F72"/>
    <w:rsid w:val="009A04CB"/>
    <w:rsid w:val="009A07F0"/>
    <w:rsid w:val="009A08DA"/>
    <w:rsid w:val="009A0BE3"/>
    <w:rsid w:val="009A0E4E"/>
    <w:rsid w:val="009A1A1A"/>
    <w:rsid w:val="009A1EB7"/>
    <w:rsid w:val="009A2755"/>
    <w:rsid w:val="009A2CE3"/>
    <w:rsid w:val="009A2D4D"/>
    <w:rsid w:val="009A2F8E"/>
    <w:rsid w:val="009A3C66"/>
    <w:rsid w:val="009A45F5"/>
    <w:rsid w:val="009A4944"/>
    <w:rsid w:val="009A5512"/>
    <w:rsid w:val="009A5CD6"/>
    <w:rsid w:val="009A6C99"/>
    <w:rsid w:val="009A7455"/>
    <w:rsid w:val="009A7720"/>
    <w:rsid w:val="009A7D85"/>
    <w:rsid w:val="009B0021"/>
    <w:rsid w:val="009B027B"/>
    <w:rsid w:val="009B04E3"/>
    <w:rsid w:val="009B0C3C"/>
    <w:rsid w:val="009B0CF1"/>
    <w:rsid w:val="009B318E"/>
    <w:rsid w:val="009B35B9"/>
    <w:rsid w:val="009B42D2"/>
    <w:rsid w:val="009B66B0"/>
    <w:rsid w:val="009B68E2"/>
    <w:rsid w:val="009B762F"/>
    <w:rsid w:val="009C0695"/>
    <w:rsid w:val="009C088A"/>
    <w:rsid w:val="009C18B7"/>
    <w:rsid w:val="009C18F6"/>
    <w:rsid w:val="009C1AFB"/>
    <w:rsid w:val="009C27C8"/>
    <w:rsid w:val="009C2826"/>
    <w:rsid w:val="009C35F9"/>
    <w:rsid w:val="009C4106"/>
    <w:rsid w:val="009C5657"/>
    <w:rsid w:val="009C58A0"/>
    <w:rsid w:val="009C749C"/>
    <w:rsid w:val="009C758D"/>
    <w:rsid w:val="009D02E4"/>
    <w:rsid w:val="009D0FD0"/>
    <w:rsid w:val="009D157B"/>
    <w:rsid w:val="009D1B7B"/>
    <w:rsid w:val="009D22F6"/>
    <w:rsid w:val="009D3D2F"/>
    <w:rsid w:val="009D5009"/>
    <w:rsid w:val="009D6364"/>
    <w:rsid w:val="009D65E9"/>
    <w:rsid w:val="009D68BB"/>
    <w:rsid w:val="009D6A81"/>
    <w:rsid w:val="009D7025"/>
    <w:rsid w:val="009E0BAF"/>
    <w:rsid w:val="009E0C5B"/>
    <w:rsid w:val="009E1296"/>
    <w:rsid w:val="009E1302"/>
    <w:rsid w:val="009E2768"/>
    <w:rsid w:val="009E3226"/>
    <w:rsid w:val="009E591D"/>
    <w:rsid w:val="009E6D06"/>
    <w:rsid w:val="009F0747"/>
    <w:rsid w:val="009F0A3F"/>
    <w:rsid w:val="009F0AC3"/>
    <w:rsid w:val="009F1195"/>
    <w:rsid w:val="009F16BA"/>
    <w:rsid w:val="009F19B6"/>
    <w:rsid w:val="009F215F"/>
    <w:rsid w:val="009F5098"/>
    <w:rsid w:val="009F5999"/>
    <w:rsid w:val="009F7D5B"/>
    <w:rsid w:val="00A009D1"/>
    <w:rsid w:val="00A01906"/>
    <w:rsid w:val="00A01D9C"/>
    <w:rsid w:val="00A026B7"/>
    <w:rsid w:val="00A02727"/>
    <w:rsid w:val="00A033A2"/>
    <w:rsid w:val="00A044B3"/>
    <w:rsid w:val="00A0527B"/>
    <w:rsid w:val="00A05A67"/>
    <w:rsid w:val="00A06272"/>
    <w:rsid w:val="00A07696"/>
    <w:rsid w:val="00A10087"/>
    <w:rsid w:val="00A116B7"/>
    <w:rsid w:val="00A11E80"/>
    <w:rsid w:val="00A1269D"/>
    <w:rsid w:val="00A1286B"/>
    <w:rsid w:val="00A12911"/>
    <w:rsid w:val="00A12E3F"/>
    <w:rsid w:val="00A144ED"/>
    <w:rsid w:val="00A14BBE"/>
    <w:rsid w:val="00A156CF"/>
    <w:rsid w:val="00A16299"/>
    <w:rsid w:val="00A16A87"/>
    <w:rsid w:val="00A17B49"/>
    <w:rsid w:val="00A24986"/>
    <w:rsid w:val="00A253A9"/>
    <w:rsid w:val="00A27302"/>
    <w:rsid w:val="00A30B48"/>
    <w:rsid w:val="00A320C6"/>
    <w:rsid w:val="00A33479"/>
    <w:rsid w:val="00A349BA"/>
    <w:rsid w:val="00A34BDC"/>
    <w:rsid w:val="00A34F58"/>
    <w:rsid w:val="00A35A54"/>
    <w:rsid w:val="00A35AC4"/>
    <w:rsid w:val="00A35ED3"/>
    <w:rsid w:val="00A36734"/>
    <w:rsid w:val="00A37877"/>
    <w:rsid w:val="00A40134"/>
    <w:rsid w:val="00A42059"/>
    <w:rsid w:val="00A42980"/>
    <w:rsid w:val="00A4596B"/>
    <w:rsid w:val="00A4604F"/>
    <w:rsid w:val="00A50A77"/>
    <w:rsid w:val="00A50E12"/>
    <w:rsid w:val="00A517D0"/>
    <w:rsid w:val="00A51C36"/>
    <w:rsid w:val="00A51D9B"/>
    <w:rsid w:val="00A52079"/>
    <w:rsid w:val="00A52CBE"/>
    <w:rsid w:val="00A53E2B"/>
    <w:rsid w:val="00A55C7B"/>
    <w:rsid w:val="00A56772"/>
    <w:rsid w:val="00A57E65"/>
    <w:rsid w:val="00A600D6"/>
    <w:rsid w:val="00A60166"/>
    <w:rsid w:val="00A6155D"/>
    <w:rsid w:val="00A61DC9"/>
    <w:rsid w:val="00A62C77"/>
    <w:rsid w:val="00A6434B"/>
    <w:rsid w:val="00A643F0"/>
    <w:rsid w:val="00A65F79"/>
    <w:rsid w:val="00A65FF6"/>
    <w:rsid w:val="00A66D2C"/>
    <w:rsid w:val="00A66D95"/>
    <w:rsid w:val="00A7118D"/>
    <w:rsid w:val="00A711D6"/>
    <w:rsid w:val="00A71605"/>
    <w:rsid w:val="00A71B13"/>
    <w:rsid w:val="00A7303C"/>
    <w:rsid w:val="00A7412F"/>
    <w:rsid w:val="00A743A3"/>
    <w:rsid w:val="00A759CB"/>
    <w:rsid w:val="00A774F0"/>
    <w:rsid w:val="00A775CC"/>
    <w:rsid w:val="00A77780"/>
    <w:rsid w:val="00A77A8C"/>
    <w:rsid w:val="00A849EB"/>
    <w:rsid w:val="00A84CB7"/>
    <w:rsid w:val="00A84F65"/>
    <w:rsid w:val="00A85B12"/>
    <w:rsid w:val="00A86040"/>
    <w:rsid w:val="00A90339"/>
    <w:rsid w:val="00A92AA3"/>
    <w:rsid w:val="00A93F8A"/>
    <w:rsid w:val="00A97522"/>
    <w:rsid w:val="00AA17FC"/>
    <w:rsid w:val="00AA18F6"/>
    <w:rsid w:val="00AA1FFD"/>
    <w:rsid w:val="00AA2B96"/>
    <w:rsid w:val="00AA310A"/>
    <w:rsid w:val="00AA3D03"/>
    <w:rsid w:val="00AA4187"/>
    <w:rsid w:val="00AA43AC"/>
    <w:rsid w:val="00AA4B04"/>
    <w:rsid w:val="00AA527E"/>
    <w:rsid w:val="00AA625F"/>
    <w:rsid w:val="00AA6A76"/>
    <w:rsid w:val="00AA7C6E"/>
    <w:rsid w:val="00AB1475"/>
    <w:rsid w:val="00AB16BF"/>
    <w:rsid w:val="00AB3437"/>
    <w:rsid w:val="00AB45D5"/>
    <w:rsid w:val="00AB4BF4"/>
    <w:rsid w:val="00AB4F21"/>
    <w:rsid w:val="00AB517E"/>
    <w:rsid w:val="00AB567F"/>
    <w:rsid w:val="00AB581C"/>
    <w:rsid w:val="00AB5B22"/>
    <w:rsid w:val="00AB5CA1"/>
    <w:rsid w:val="00AB616D"/>
    <w:rsid w:val="00AB65CB"/>
    <w:rsid w:val="00AB6A26"/>
    <w:rsid w:val="00AB6D32"/>
    <w:rsid w:val="00AB75CB"/>
    <w:rsid w:val="00AB7A29"/>
    <w:rsid w:val="00AC0F04"/>
    <w:rsid w:val="00AC10A3"/>
    <w:rsid w:val="00AC45A1"/>
    <w:rsid w:val="00AC5329"/>
    <w:rsid w:val="00AC5D8E"/>
    <w:rsid w:val="00AC5E32"/>
    <w:rsid w:val="00AC6355"/>
    <w:rsid w:val="00AC7842"/>
    <w:rsid w:val="00AD00AA"/>
    <w:rsid w:val="00AD17EB"/>
    <w:rsid w:val="00AD21C9"/>
    <w:rsid w:val="00AD3AD1"/>
    <w:rsid w:val="00AD41E4"/>
    <w:rsid w:val="00AD5A0F"/>
    <w:rsid w:val="00AD6270"/>
    <w:rsid w:val="00AD6CE8"/>
    <w:rsid w:val="00AE1188"/>
    <w:rsid w:val="00AE1F32"/>
    <w:rsid w:val="00AE2DCA"/>
    <w:rsid w:val="00AE2E37"/>
    <w:rsid w:val="00AE38E6"/>
    <w:rsid w:val="00AE4FB2"/>
    <w:rsid w:val="00AE5DE3"/>
    <w:rsid w:val="00AE71A6"/>
    <w:rsid w:val="00AE7DE9"/>
    <w:rsid w:val="00AF0036"/>
    <w:rsid w:val="00AF2010"/>
    <w:rsid w:val="00AF22F4"/>
    <w:rsid w:val="00AF2301"/>
    <w:rsid w:val="00AF2E28"/>
    <w:rsid w:val="00AF35B6"/>
    <w:rsid w:val="00AF36DA"/>
    <w:rsid w:val="00AF3BCB"/>
    <w:rsid w:val="00AF4A8F"/>
    <w:rsid w:val="00AF5338"/>
    <w:rsid w:val="00AF5EE8"/>
    <w:rsid w:val="00B0030F"/>
    <w:rsid w:val="00B006E9"/>
    <w:rsid w:val="00B032D1"/>
    <w:rsid w:val="00B0352C"/>
    <w:rsid w:val="00B048CA"/>
    <w:rsid w:val="00B053F4"/>
    <w:rsid w:val="00B059B1"/>
    <w:rsid w:val="00B06A32"/>
    <w:rsid w:val="00B07CB4"/>
    <w:rsid w:val="00B120A5"/>
    <w:rsid w:val="00B124A8"/>
    <w:rsid w:val="00B12DBC"/>
    <w:rsid w:val="00B12FB1"/>
    <w:rsid w:val="00B13192"/>
    <w:rsid w:val="00B13A37"/>
    <w:rsid w:val="00B1521E"/>
    <w:rsid w:val="00B15F05"/>
    <w:rsid w:val="00B16EFF"/>
    <w:rsid w:val="00B17C59"/>
    <w:rsid w:val="00B20E12"/>
    <w:rsid w:val="00B2111B"/>
    <w:rsid w:val="00B21CAD"/>
    <w:rsid w:val="00B21E1C"/>
    <w:rsid w:val="00B22638"/>
    <w:rsid w:val="00B234B8"/>
    <w:rsid w:val="00B23AEA"/>
    <w:rsid w:val="00B248E0"/>
    <w:rsid w:val="00B24DF1"/>
    <w:rsid w:val="00B24FFB"/>
    <w:rsid w:val="00B25745"/>
    <w:rsid w:val="00B26B54"/>
    <w:rsid w:val="00B26E15"/>
    <w:rsid w:val="00B30BA5"/>
    <w:rsid w:val="00B316E3"/>
    <w:rsid w:val="00B319F5"/>
    <w:rsid w:val="00B3292D"/>
    <w:rsid w:val="00B32ED6"/>
    <w:rsid w:val="00B32F5A"/>
    <w:rsid w:val="00B33084"/>
    <w:rsid w:val="00B33590"/>
    <w:rsid w:val="00B35C5B"/>
    <w:rsid w:val="00B35CCC"/>
    <w:rsid w:val="00B3615F"/>
    <w:rsid w:val="00B363B2"/>
    <w:rsid w:val="00B36E26"/>
    <w:rsid w:val="00B3771F"/>
    <w:rsid w:val="00B37762"/>
    <w:rsid w:val="00B37B4A"/>
    <w:rsid w:val="00B42596"/>
    <w:rsid w:val="00B42F9B"/>
    <w:rsid w:val="00B455C2"/>
    <w:rsid w:val="00B4603D"/>
    <w:rsid w:val="00B51D53"/>
    <w:rsid w:val="00B5266D"/>
    <w:rsid w:val="00B528E8"/>
    <w:rsid w:val="00B52FE8"/>
    <w:rsid w:val="00B53979"/>
    <w:rsid w:val="00B53CF5"/>
    <w:rsid w:val="00B53D51"/>
    <w:rsid w:val="00B54755"/>
    <w:rsid w:val="00B54B9B"/>
    <w:rsid w:val="00B55203"/>
    <w:rsid w:val="00B553FE"/>
    <w:rsid w:val="00B56DAC"/>
    <w:rsid w:val="00B57F7E"/>
    <w:rsid w:val="00B610BD"/>
    <w:rsid w:val="00B613D1"/>
    <w:rsid w:val="00B615F4"/>
    <w:rsid w:val="00B61645"/>
    <w:rsid w:val="00B61F74"/>
    <w:rsid w:val="00B63340"/>
    <w:rsid w:val="00B63EAA"/>
    <w:rsid w:val="00B64F8D"/>
    <w:rsid w:val="00B65B3A"/>
    <w:rsid w:val="00B67BB9"/>
    <w:rsid w:val="00B7025F"/>
    <w:rsid w:val="00B709CD"/>
    <w:rsid w:val="00B71973"/>
    <w:rsid w:val="00B719D2"/>
    <w:rsid w:val="00B71F38"/>
    <w:rsid w:val="00B738DB"/>
    <w:rsid w:val="00B73F93"/>
    <w:rsid w:val="00B74C47"/>
    <w:rsid w:val="00B7552B"/>
    <w:rsid w:val="00B75724"/>
    <w:rsid w:val="00B77EFB"/>
    <w:rsid w:val="00B80641"/>
    <w:rsid w:val="00B80C64"/>
    <w:rsid w:val="00B81938"/>
    <w:rsid w:val="00B823A0"/>
    <w:rsid w:val="00B82A3C"/>
    <w:rsid w:val="00B83CD7"/>
    <w:rsid w:val="00B84B2E"/>
    <w:rsid w:val="00B86644"/>
    <w:rsid w:val="00B87022"/>
    <w:rsid w:val="00B87662"/>
    <w:rsid w:val="00B87A3A"/>
    <w:rsid w:val="00B90DFA"/>
    <w:rsid w:val="00B9219B"/>
    <w:rsid w:val="00B9422E"/>
    <w:rsid w:val="00B942BE"/>
    <w:rsid w:val="00B942EF"/>
    <w:rsid w:val="00B9493C"/>
    <w:rsid w:val="00B94E05"/>
    <w:rsid w:val="00B95D36"/>
    <w:rsid w:val="00B96BE5"/>
    <w:rsid w:val="00B973C0"/>
    <w:rsid w:val="00B97573"/>
    <w:rsid w:val="00BA153F"/>
    <w:rsid w:val="00BA1613"/>
    <w:rsid w:val="00BA3B0D"/>
    <w:rsid w:val="00BA3CD2"/>
    <w:rsid w:val="00BA5806"/>
    <w:rsid w:val="00BA6CB8"/>
    <w:rsid w:val="00BA75DB"/>
    <w:rsid w:val="00BA7F62"/>
    <w:rsid w:val="00BB0A90"/>
    <w:rsid w:val="00BB0F0C"/>
    <w:rsid w:val="00BB1395"/>
    <w:rsid w:val="00BB1C98"/>
    <w:rsid w:val="00BB233E"/>
    <w:rsid w:val="00BB26A7"/>
    <w:rsid w:val="00BB2CF5"/>
    <w:rsid w:val="00BB32C2"/>
    <w:rsid w:val="00BB330B"/>
    <w:rsid w:val="00BB4252"/>
    <w:rsid w:val="00BB66DA"/>
    <w:rsid w:val="00BB6DC4"/>
    <w:rsid w:val="00BB782F"/>
    <w:rsid w:val="00BB7CF6"/>
    <w:rsid w:val="00BC01F5"/>
    <w:rsid w:val="00BC0C92"/>
    <w:rsid w:val="00BC313E"/>
    <w:rsid w:val="00BC33BA"/>
    <w:rsid w:val="00BC37DC"/>
    <w:rsid w:val="00BC4160"/>
    <w:rsid w:val="00BC55B0"/>
    <w:rsid w:val="00BC58FD"/>
    <w:rsid w:val="00BC6277"/>
    <w:rsid w:val="00BC640E"/>
    <w:rsid w:val="00BC6A25"/>
    <w:rsid w:val="00BC73A2"/>
    <w:rsid w:val="00BC7467"/>
    <w:rsid w:val="00BC7562"/>
    <w:rsid w:val="00BC7EBA"/>
    <w:rsid w:val="00BD00E9"/>
    <w:rsid w:val="00BD05AD"/>
    <w:rsid w:val="00BD0928"/>
    <w:rsid w:val="00BD156C"/>
    <w:rsid w:val="00BD16E8"/>
    <w:rsid w:val="00BD25BC"/>
    <w:rsid w:val="00BD2F0A"/>
    <w:rsid w:val="00BD3106"/>
    <w:rsid w:val="00BD3664"/>
    <w:rsid w:val="00BD58A6"/>
    <w:rsid w:val="00BD6317"/>
    <w:rsid w:val="00BD634F"/>
    <w:rsid w:val="00BE19C1"/>
    <w:rsid w:val="00BE2404"/>
    <w:rsid w:val="00BE38E7"/>
    <w:rsid w:val="00BE3AAF"/>
    <w:rsid w:val="00BE465D"/>
    <w:rsid w:val="00BE52D8"/>
    <w:rsid w:val="00BE53FE"/>
    <w:rsid w:val="00BE6C6B"/>
    <w:rsid w:val="00BE79A7"/>
    <w:rsid w:val="00BE7C16"/>
    <w:rsid w:val="00BF1E7A"/>
    <w:rsid w:val="00BF2E53"/>
    <w:rsid w:val="00BF2F6E"/>
    <w:rsid w:val="00BF3409"/>
    <w:rsid w:val="00BF3875"/>
    <w:rsid w:val="00BF3B96"/>
    <w:rsid w:val="00BF5327"/>
    <w:rsid w:val="00BF541D"/>
    <w:rsid w:val="00BF5DA3"/>
    <w:rsid w:val="00BF625B"/>
    <w:rsid w:val="00BF657E"/>
    <w:rsid w:val="00BF68AE"/>
    <w:rsid w:val="00BF7788"/>
    <w:rsid w:val="00BF7CCF"/>
    <w:rsid w:val="00C0065F"/>
    <w:rsid w:val="00C00DF6"/>
    <w:rsid w:val="00C0181E"/>
    <w:rsid w:val="00C01984"/>
    <w:rsid w:val="00C0202A"/>
    <w:rsid w:val="00C03662"/>
    <w:rsid w:val="00C041A8"/>
    <w:rsid w:val="00C11661"/>
    <w:rsid w:val="00C12332"/>
    <w:rsid w:val="00C12992"/>
    <w:rsid w:val="00C12A2E"/>
    <w:rsid w:val="00C12A7B"/>
    <w:rsid w:val="00C13F25"/>
    <w:rsid w:val="00C14A54"/>
    <w:rsid w:val="00C174C3"/>
    <w:rsid w:val="00C207BF"/>
    <w:rsid w:val="00C21D75"/>
    <w:rsid w:val="00C21FCB"/>
    <w:rsid w:val="00C226AF"/>
    <w:rsid w:val="00C2290C"/>
    <w:rsid w:val="00C232A0"/>
    <w:rsid w:val="00C23A1A"/>
    <w:rsid w:val="00C23FC7"/>
    <w:rsid w:val="00C24978"/>
    <w:rsid w:val="00C24985"/>
    <w:rsid w:val="00C24B5C"/>
    <w:rsid w:val="00C300FC"/>
    <w:rsid w:val="00C3082A"/>
    <w:rsid w:val="00C337B4"/>
    <w:rsid w:val="00C35A38"/>
    <w:rsid w:val="00C36954"/>
    <w:rsid w:val="00C36F19"/>
    <w:rsid w:val="00C40378"/>
    <w:rsid w:val="00C407DA"/>
    <w:rsid w:val="00C40CAA"/>
    <w:rsid w:val="00C416A0"/>
    <w:rsid w:val="00C41BCF"/>
    <w:rsid w:val="00C41F9D"/>
    <w:rsid w:val="00C438BB"/>
    <w:rsid w:val="00C438D1"/>
    <w:rsid w:val="00C449A5"/>
    <w:rsid w:val="00C453D7"/>
    <w:rsid w:val="00C46EA7"/>
    <w:rsid w:val="00C479CE"/>
    <w:rsid w:val="00C50626"/>
    <w:rsid w:val="00C506AB"/>
    <w:rsid w:val="00C50A8E"/>
    <w:rsid w:val="00C50C00"/>
    <w:rsid w:val="00C50C8E"/>
    <w:rsid w:val="00C51680"/>
    <w:rsid w:val="00C51BEC"/>
    <w:rsid w:val="00C5217D"/>
    <w:rsid w:val="00C52237"/>
    <w:rsid w:val="00C52989"/>
    <w:rsid w:val="00C531AA"/>
    <w:rsid w:val="00C531AB"/>
    <w:rsid w:val="00C53974"/>
    <w:rsid w:val="00C53A51"/>
    <w:rsid w:val="00C540BD"/>
    <w:rsid w:val="00C540EE"/>
    <w:rsid w:val="00C55A0D"/>
    <w:rsid w:val="00C56548"/>
    <w:rsid w:val="00C602AE"/>
    <w:rsid w:val="00C62628"/>
    <w:rsid w:val="00C633CF"/>
    <w:rsid w:val="00C63725"/>
    <w:rsid w:val="00C63C89"/>
    <w:rsid w:val="00C6587C"/>
    <w:rsid w:val="00C6794A"/>
    <w:rsid w:val="00C67A15"/>
    <w:rsid w:val="00C67EB6"/>
    <w:rsid w:val="00C70620"/>
    <w:rsid w:val="00C71616"/>
    <w:rsid w:val="00C71974"/>
    <w:rsid w:val="00C71B21"/>
    <w:rsid w:val="00C73388"/>
    <w:rsid w:val="00C73EA5"/>
    <w:rsid w:val="00C742FC"/>
    <w:rsid w:val="00C74A62"/>
    <w:rsid w:val="00C74D72"/>
    <w:rsid w:val="00C754DF"/>
    <w:rsid w:val="00C75AB7"/>
    <w:rsid w:val="00C7690D"/>
    <w:rsid w:val="00C8102B"/>
    <w:rsid w:val="00C81479"/>
    <w:rsid w:val="00C81BFD"/>
    <w:rsid w:val="00C81E1A"/>
    <w:rsid w:val="00C82D92"/>
    <w:rsid w:val="00C82FB0"/>
    <w:rsid w:val="00C83B02"/>
    <w:rsid w:val="00C846D7"/>
    <w:rsid w:val="00C84C99"/>
    <w:rsid w:val="00C85F93"/>
    <w:rsid w:val="00C86735"/>
    <w:rsid w:val="00C87438"/>
    <w:rsid w:val="00C90580"/>
    <w:rsid w:val="00C941A3"/>
    <w:rsid w:val="00C94318"/>
    <w:rsid w:val="00C9510A"/>
    <w:rsid w:val="00C96365"/>
    <w:rsid w:val="00C96BB4"/>
    <w:rsid w:val="00C96D3A"/>
    <w:rsid w:val="00C97124"/>
    <w:rsid w:val="00C9774F"/>
    <w:rsid w:val="00CA0005"/>
    <w:rsid w:val="00CA0049"/>
    <w:rsid w:val="00CA02A7"/>
    <w:rsid w:val="00CA0590"/>
    <w:rsid w:val="00CA1308"/>
    <w:rsid w:val="00CA179D"/>
    <w:rsid w:val="00CA184F"/>
    <w:rsid w:val="00CA1B58"/>
    <w:rsid w:val="00CA1F8D"/>
    <w:rsid w:val="00CA2469"/>
    <w:rsid w:val="00CA3218"/>
    <w:rsid w:val="00CA3794"/>
    <w:rsid w:val="00CA48ED"/>
    <w:rsid w:val="00CA55E3"/>
    <w:rsid w:val="00CA6F91"/>
    <w:rsid w:val="00CA79E4"/>
    <w:rsid w:val="00CB16E0"/>
    <w:rsid w:val="00CB1728"/>
    <w:rsid w:val="00CB1BFD"/>
    <w:rsid w:val="00CB2505"/>
    <w:rsid w:val="00CB27BA"/>
    <w:rsid w:val="00CB29CA"/>
    <w:rsid w:val="00CB4174"/>
    <w:rsid w:val="00CB49F5"/>
    <w:rsid w:val="00CB521D"/>
    <w:rsid w:val="00CB56AC"/>
    <w:rsid w:val="00CB5F2D"/>
    <w:rsid w:val="00CC0779"/>
    <w:rsid w:val="00CC096B"/>
    <w:rsid w:val="00CC16E9"/>
    <w:rsid w:val="00CC17A5"/>
    <w:rsid w:val="00CC1DA0"/>
    <w:rsid w:val="00CC3FBD"/>
    <w:rsid w:val="00CC4D64"/>
    <w:rsid w:val="00CC55C3"/>
    <w:rsid w:val="00CC6978"/>
    <w:rsid w:val="00CC728D"/>
    <w:rsid w:val="00CC7329"/>
    <w:rsid w:val="00CD0FF3"/>
    <w:rsid w:val="00CD24A3"/>
    <w:rsid w:val="00CD2538"/>
    <w:rsid w:val="00CD2DB2"/>
    <w:rsid w:val="00CD34E7"/>
    <w:rsid w:val="00CD3827"/>
    <w:rsid w:val="00CD3940"/>
    <w:rsid w:val="00CD3CF9"/>
    <w:rsid w:val="00CD4807"/>
    <w:rsid w:val="00CD4BC0"/>
    <w:rsid w:val="00CD4F57"/>
    <w:rsid w:val="00CD5412"/>
    <w:rsid w:val="00CD7163"/>
    <w:rsid w:val="00CD790F"/>
    <w:rsid w:val="00CE1581"/>
    <w:rsid w:val="00CE35DA"/>
    <w:rsid w:val="00CE3A5C"/>
    <w:rsid w:val="00CE3CB9"/>
    <w:rsid w:val="00CE4085"/>
    <w:rsid w:val="00CE4302"/>
    <w:rsid w:val="00CE4589"/>
    <w:rsid w:val="00CE470B"/>
    <w:rsid w:val="00CE5E69"/>
    <w:rsid w:val="00CE7FA9"/>
    <w:rsid w:val="00CF04F1"/>
    <w:rsid w:val="00CF1D8B"/>
    <w:rsid w:val="00CF3495"/>
    <w:rsid w:val="00CF4177"/>
    <w:rsid w:val="00CF5271"/>
    <w:rsid w:val="00CF6166"/>
    <w:rsid w:val="00CF630A"/>
    <w:rsid w:val="00CF6D4A"/>
    <w:rsid w:val="00CF6E21"/>
    <w:rsid w:val="00CF75B0"/>
    <w:rsid w:val="00CF7DF8"/>
    <w:rsid w:val="00D0196D"/>
    <w:rsid w:val="00D01CD0"/>
    <w:rsid w:val="00D02AC2"/>
    <w:rsid w:val="00D03D61"/>
    <w:rsid w:val="00D03DB8"/>
    <w:rsid w:val="00D04F1A"/>
    <w:rsid w:val="00D056B0"/>
    <w:rsid w:val="00D06BB6"/>
    <w:rsid w:val="00D06CF7"/>
    <w:rsid w:val="00D07C92"/>
    <w:rsid w:val="00D07D5C"/>
    <w:rsid w:val="00D10813"/>
    <w:rsid w:val="00D10B94"/>
    <w:rsid w:val="00D1216C"/>
    <w:rsid w:val="00D13268"/>
    <w:rsid w:val="00D13D82"/>
    <w:rsid w:val="00D15582"/>
    <w:rsid w:val="00D17063"/>
    <w:rsid w:val="00D21324"/>
    <w:rsid w:val="00D21F88"/>
    <w:rsid w:val="00D2336F"/>
    <w:rsid w:val="00D2337E"/>
    <w:rsid w:val="00D23F2D"/>
    <w:rsid w:val="00D2526E"/>
    <w:rsid w:val="00D25FE8"/>
    <w:rsid w:val="00D2612D"/>
    <w:rsid w:val="00D26ACE"/>
    <w:rsid w:val="00D27212"/>
    <w:rsid w:val="00D27536"/>
    <w:rsid w:val="00D27767"/>
    <w:rsid w:val="00D30904"/>
    <w:rsid w:val="00D30A3E"/>
    <w:rsid w:val="00D30BFA"/>
    <w:rsid w:val="00D31874"/>
    <w:rsid w:val="00D31DA5"/>
    <w:rsid w:val="00D33F88"/>
    <w:rsid w:val="00D341FB"/>
    <w:rsid w:val="00D355CA"/>
    <w:rsid w:val="00D3686C"/>
    <w:rsid w:val="00D371E2"/>
    <w:rsid w:val="00D37238"/>
    <w:rsid w:val="00D433D6"/>
    <w:rsid w:val="00D438E5"/>
    <w:rsid w:val="00D43B08"/>
    <w:rsid w:val="00D43C75"/>
    <w:rsid w:val="00D46485"/>
    <w:rsid w:val="00D46665"/>
    <w:rsid w:val="00D46E45"/>
    <w:rsid w:val="00D4720E"/>
    <w:rsid w:val="00D4740A"/>
    <w:rsid w:val="00D476F6"/>
    <w:rsid w:val="00D50CBB"/>
    <w:rsid w:val="00D51F58"/>
    <w:rsid w:val="00D52814"/>
    <w:rsid w:val="00D5340B"/>
    <w:rsid w:val="00D5493B"/>
    <w:rsid w:val="00D55510"/>
    <w:rsid w:val="00D55A46"/>
    <w:rsid w:val="00D56160"/>
    <w:rsid w:val="00D5693B"/>
    <w:rsid w:val="00D61FB4"/>
    <w:rsid w:val="00D621B7"/>
    <w:rsid w:val="00D623C8"/>
    <w:rsid w:val="00D62831"/>
    <w:rsid w:val="00D63C36"/>
    <w:rsid w:val="00D63E1F"/>
    <w:rsid w:val="00D63EBB"/>
    <w:rsid w:val="00D64154"/>
    <w:rsid w:val="00D647BD"/>
    <w:rsid w:val="00D66081"/>
    <w:rsid w:val="00D6697B"/>
    <w:rsid w:val="00D66AD4"/>
    <w:rsid w:val="00D67523"/>
    <w:rsid w:val="00D7057A"/>
    <w:rsid w:val="00D7200A"/>
    <w:rsid w:val="00D72394"/>
    <w:rsid w:val="00D72587"/>
    <w:rsid w:val="00D74268"/>
    <w:rsid w:val="00D807A2"/>
    <w:rsid w:val="00D80FDD"/>
    <w:rsid w:val="00D82951"/>
    <w:rsid w:val="00D831A4"/>
    <w:rsid w:val="00D831E2"/>
    <w:rsid w:val="00D834F3"/>
    <w:rsid w:val="00D839E4"/>
    <w:rsid w:val="00D84215"/>
    <w:rsid w:val="00D84554"/>
    <w:rsid w:val="00D85B25"/>
    <w:rsid w:val="00D87E53"/>
    <w:rsid w:val="00D90594"/>
    <w:rsid w:val="00D9079B"/>
    <w:rsid w:val="00D912BA"/>
    <w:rsid w:val="00D9159F"/>
    <w:rsid w:val="00D9266A"/>
    <w:rsid w:val="00D92B9D"/>
    <w:rsid w:val="00D93195"/>
    <w:rsid w:val="00D933E7"/>
    <w:rsid w:val="00D94785"/>
    <w:rsid w:val="00D947BD"/>
    <w:rsid w:val="00D94ED6"/>
    <w:rsid w:val="00D9502F"/>
    <w:rsid w:val="00D95816"/>
    <w:rsid w:val="00D95984"/>
    <w:rsid w:val="00D95EF2"/>
    <w:rsid w:val="00D97299"/>
    <w:rsid w:val="00D9758B"/>
    <w:rsid w:val="00DA1FA6"/>
    <w:rsid w:val="00DA28FC"/>
    <w:rsid w:val="00DA29F9"/>
    <w:rsid w:val="00DA3C2F"/>
    <w:rsid w:val="00DA56A7"/>
    <w:rsid w:val="00DA7068"/>
    <w:rsid w:val="00DB03F1"/>
    <w:rsid w:val="00DB07A8"/>
    <w:rsid w:val="00DB1362"/>
    <w:rsid w:val="00DB195F"/>
    <w:rsid w:val="00DB234B"/>
    <w:rsid w:val="00DB2F16"/>
    <w:rsid w:val="00DB38F3"/>
    <w:rsid w:val="00DB3F03"/>
    <w:rsid w:val="00DB50B6"/>
    <w:rsid w:val="00DB6389"/>
    <w:rsid w:val="00DB64FA"/>
    <w:rsid w:val="00DB66EF"/>
    <w:rsid w:val="00DB6CAF"/>
    <w:rsid w:val="00DB72C1"/>
    <w:rsid w:val="00DB7D12"/>
    <w:rsid w:val="00DC066D"/>
    <w:rsid w:val="00DC10B5"/>
    <w:rsid w:val="00DC1FF2"/>
    <w:rsid w:val="00DC2A31"/>
    <w:rsid w:val="00DC42D5"/>
    <w:rsid w:val="00DC48B4"/>
    <w:rsid w:val="00DC48C1"/>
    <w:rsid w:val="00DC4D5F"/>
    <w:rsid w:val="00DC513E"/>
    <w:rsid w:val="00DC5B33"/>
    <w:rsid w:val="00DC6419"/>
    <w:rsid w:val="00DC67DD"/>
    <w:rsid w:val="00DC6E43"/>
    <w:rsid w:val="00DC7A2B"/>
    <w:rsid w:val="00DD07E7"/>
    <w:rsid w:val="00DD270F"/>
    <w:rsid w:val="00DD286F"/>
    <w:rsid w:val="00DD2BE8"/>
    <w:rsid w:val="00DD51BE"/>
    <w:rsid w:val="00DD51EB"/>
    <w:rsid w:val="00DD5A5F"/>
    <w:rsid w:val="00DD5CE1"/>
    <w:rsid w:val="00DD5DB6"/>
    <w:rsid w:val="00DD5E21"/>
    <w:rsid w:val="00DD6D69"/>
    <w:rsid w:val="00DD6E5B"/>
    <w:rsid w:val="00DE1409"/>
    <w:rsid w:val="00DE18D9"/>
    <w:rsid w:val="00DE1BC7"/>
    <w:rsid w:val="00DE4E6A"/>
    <w:rsid w:val="00DE5412"/>
    <w:rsid w:val="00DE6820"/>
    <w:rsid w:val="00DE7940"/>
    <w:rsid w:val="00DF00FB"/>
    <w:rsid w:val="00DF23B4"/>
    <w:rsid w:val="00DF3BD9"/>
    <w:rsid w:val="00DF3E7F"/>
    <w:rsid w:val="00DF5A57"/>
    <w:rsid w:val="00DF6052"/>
    <w:rsid w:val="00DF67A1"/>
    <w:rsid w:val="00DF70E1"/>
    <w:rsid w:val="00DF786A"/>
    <w:rsid w:val="00E01262"/>
    <w:rsid w:val="00E015A2"/>
    <w:rsid w:val="00E01681"/>
    <w:rsid w:val="00E01B9A"/>
    <w:rsid w:val="00E02B47"/>
    <w:rsid w:val="00E039DD"/>
    <w:rsid w:val="00E03B91"/>
    <w:rsid w:val="00E04FB4"/>
    <w:rsid w:val="00E05A5C"/>
    <w:rsid w:val="00E05DF6"/>
    <w:rsid w:val="00E06151"/>
    <w:rsid w:val="00E07498"/>
    <w:rsid w:val="00E07776"/>
    <w:rsid w:val="00E079B1"/>
    <w:rsid w:val="00E07E8A"/>
    <w:rsid w:val="00E100EF"/>
    <w:rsid w:val="00E113D6"/>
    <w:rsid w:val="00E118C3"/>
    <w:rsid w:val="00E11F08"/>
    <w:rsid w:val="00E1291F"/>
    <w:rsid w:val="00E136A6"/>
    <w:rsid w:val="00E17F65"/>
    <w:rsid w:val="00E21A4A"/>
    <w:rsid w:val="00E22896"/>
    <w:rsid w:val="00E2345C"/>
    <w:rsid w:val="00E24637"/>
    <w:rsid w:val="00E25294"/>
    <w:rsid w:val="00E2557F"/>
    <w:rsid w:val="00E26029"/>
    <w:rsid w:val="00E26206"/>
    <w:rsid w:val="00E26A85"/>
    <w:rsid w:val="00E26B18"/>
    <w:rsid w:val="00E2786A"/>
    <w:rsid w:val="00E30C14"/>
    <w:rsid w:val="00E3281F"/>
    <w:rsid w:val="00E34ADB"/>
    <w:rsid w:val="00E361B7"/>
    <w:rsid w:val="00E36402"/>
    <w:rsid w:val="00E365FC"/>
    <w:rsid w:val="00E37E85"/>
    <w:rsid w:val="00E402D5"/>
    <w:rsid w:val="00E40350"/>
    <w:rsid w:val="00E40A3A"/>
    <w:rsid w:val="00E4126A"/>
    <w:rsid w:val="00E4134B"/>
    <w:rsid w:val="00E42839"/>
    <w:rsid w:val="00E439F8"/>
    <w:rsid w:val="00E43AF3"/>
    <w:rsid w:val="00E465CA"/>
    <w:rsid w:val="00E465D6"/>
    <w:rsid w:val="00E47073"/>
    <w:rsid w:val="00E50190"/>
    <w:rsid w:val="00E50722"/>
    <w:rsid w:val="00E512E2"/>
    <w:rsid w:val="00E51583"/>
    <w:rsid w:val="00E51EF5"/>
    <w:rsid w:val="00E520D4"/>
    <w:rsid w:val="00E522D3"/>
    <w:rsid w:val="00E53F9D"/>
    <w:rsid w:val="00E55216"/>
    <w:rsid w:val="00E5609B"/>
    <w:rsid w:val="00E565DE"/>
    <w:rsid w:val="00E56DA0"/>
    <w:rsid w:val="00E57024"/>
    <w:rsid w:val="00E57589"/>
    <w:rsid w:val="00E60312"/>
    <w:rsid w:val="00E60345"/>
    <w:rsid w:val="00E60DFA"/>
    <w:rsid w:val="00E60E37"/>
    <w:rsid w:val="00E61196"/>
    <w:rsid w:val="00E612BB"/>
    <w:rsid w:val="00E61489"/>
    <w:rsid w:val="00E6209D"/>
    <w:rsid w:val="00E629D6"/>
    <w:rsid w:val="00E62B86"/>
    <w:rsid w:val="00E62BEB"/>
    <w:rsid w:val="00E62E84"/>
    <w:rsid w:val="00E63419"/>
    <w:rsid w:val="00E637A8"/>
    <w:rsid w:val="00E63D51"/>
    <w:rsid w:val="00E65100"/>
    <w:rsid w:val="00E6652D"/>
    <w:rsid w:val="00E66C8A"/>
    <w:rsid w:val="00E70157"/>
    <w:rsid w:val="00E70853"/>
    <w:rsid w:val="00E7102B"/>
    <w:rsid w:val="00E71110"/>
    <w:rsid w:val="00E72A2D"/>
    <w:rsid w:val="00E73445"/>
    <w:rsid w:val="00E734F8"/>
    <w:rsid w:val="00E7396F"/>
    <w:rsid w:val="00E73F1B"/>
    <w:rsid w:val="00E73FDA"/>
    <w:rsid w:val="00E74581"/>
    <w:rsid w:val="00E76337"/>
    <w:rsid w:val="00E77006"/>
    <w:rsid w:val="00E7797A"/>
    <w:rsid w:val="00E77BF1"/>
    <w:rsid w:val="00E80521"/>
    <w:rsid w:val="00E80655"/>
    <w:rsid w:val="00E80A5D"/>
    <w:rsid w:val="00E81963"/>
    <w:rsid w:val="00E81F5E"/>
    <w:rsid w:val="00E81FA1"/>
    <w:rsid w:val="00E83B0E"/>
    <w:rsid w:val="00E840EE"/>
    <w:rsid w:val="00E87C77"/>
    <w:rsid w:val="00E903F6"/>
    <w:rsid w:val="00E90525"/>
    <w:rsid w:val="00E908D3"/>
    <w:rsid w:val="00E912A2"/>
    <w:rsid w:val="00E91528"/>
    <w:rsid w:val="00E9319A"/>
    <w:rsid w:val="00E9378A"/>
    <w:rsid w:val="00E938EA"/>
    <w:rsid w:val="00E9451F"/>
    <w:rsid w:val="00E94703"/>
    <w:rsid w:val="00E949D7"/>
    <w:rsid w:val="00E94A52"/>
    <w:rsid w:val="00E953F3"/>
    <w:rsid w:val="00E9554F"/>
    <w:rsid w:val="00E96386"/>
    <w:rsid w:val="00E97013"/>
    <w:rsid w:val="00EA092A"/>
    <w:rsid w:val="00EA17C3"/>
    <w:rsid w:val="00EA1E30"/>
    <w:rsid w:val="00EA29D7"/>
    <w:rsid w:val="00EA2CD3"/>
    <w:rsid w:val="00EA385B"/>
    <w:rsid w:val="00EA3DE6"/>
    <w:rsid w:val="00EA4167"/>
    <w:rsid w:val="00EA6229"/>
    <w:rsid w:val="00EB0A1A"/>
    <w:rsid w:val="00EB3E82"/>
    <w:rsid w:val="00EB6049"/>
    <w:rsid w:val="00EB60C4"/>
    <w:rsid w:val="00EB6669"/>
    <w:rsid w:val="00EB7EF6"/>
    <w:rsid w:val="00EC0851"/>
    <w:rsid w:val="00EC0F36"/>
    <w:rsid w:val="00EC3703"/>
    <w:rsid w:val="00EC386F"/>
    <w:rsid w:val="00EC4151"/>
    <w:rsid w:val="00EC42B3"/>
    <w:rsid w:val="00EC502D"/>
    <w:rsid w:val="00EC6482"/>
    <w:rsid w:val="00EC736C"/>
    <w:rsid w:val="00EC7EAF"/>
    <w:rsid w:val="00EC7FC2"/>
    <w:rsid w:val="00ED0F8C"/>
    <w:rsid w:val="00ED1973"/>
    <w:rsid w:val="00ED29F8"/>
    <w:rsid w:val="00ED2C35"/>
    <w:rsid w:val="00ED4366"/>
    <w:rsid w:val="00ED5726"/>
    <w:rsid w:val="00ED59C4"/>
    <w:rsid w:val="00ED68C1"/>
    <w:rsid w:val="00ED6AE1"/>
    <w:rsid w:val="00ED7B40"/>
    <w:rsid w:val="00EE07C6"/>
    <w:rsid w:val="00EE4049"/>
    <w:rsid w:val="00EE434C"/>
    <w:rsid w:val="00EE482A"/>
    <w:rsid w:val="00EE4A16"/>
    <w:rsid w:val="00EE4BC2"/>
    <w:rsid w:val="00EE6DAA"/>
    <w:rsid w:val="00EE6FD2"/>
    <w:rsid w:val="00EE7E47"/>
    <w:rsid w:val="00EE7F3F"/>
    <w:rsid w:val="00EF1AC0"/>
    <w:rsid w:val="00EF4092"/>
    <w:rsid w:val="00EF4183"/>
    <w:rsid w:val="00EF538C"/>
    <w:rsid w:val="00EF576E"/>
    <w:rsid w:val="00EF5E32"/>
    <w:rsid w:val="00EF6BCE"/>
    <w:rsid w:val="00F00F82"/>
    <w:rsid w:val="00F01A2C"/>
    <w:rsid w:val="00F02E10"/>
    <w:rsid w:val="00F0382D"/>
    <w:rsid w:val="00F042E8"/>
    <w:rsid w:val="00F043CC"/>
    <w:rsid w:val="00F048EC"/>
    <w:rsid w:val="00F049B2"/>
    <w:rsid w:val="00F04F87"/>
    <w:rsid w:val="00F05221"/>
    <w:rsid w:val="00F05B91"/>
    <w:rsid w:val="00F05BD5"/>
    <w:rsid w:val="00F05DA3"/>
    <w:rsid w:val="00F062E9"/>
    <w:rsid w:val="00F06B09"/>
    <w:rsid w:val="00F10BAC"/>
    <w:rsid w:val="00F11654"/>
    <w:rsid w:val="00F11736"/>
    <w:rsid w:val="00F11E0A"/>
    <w:rsid w:val="00F12B67"/>
    <w:rsid w:val="00F1376F"/>
    <w:rsid w:val="00F138EE"/>
    <w:rsid w:val="00F13BD1"/>
    <w:rsid w:val="00F148DE"/>
    <w:rsid w:val="00F159C0"/>
    <w:rsid w:val="00F15B95"/>
    <w:rsid w:val="00F21D54"/>
    <w:rsid w:val="00F24344"/>
    <w:rsid w:val="00F2527C"/>
    <w:rsid w:val="00F26235"/>
    <w:rsid w:val="00F267EC"/>
    <w:rsid w:val="00F272C2"/>
    <w:rsid w:val="00F27D3A"/>
    <w:rsid w:val="00F3040F"/>
    <w:rsid w:val="00F30BC5"/>
    <w:rsid w:val="00F319EC"/>
    <w:rsid w:val="00F327E9"/>
    <w:rsid w:val="00F340D4"/>
    <w:rsid w:val="00F34166"/>
    <w:rsid w:val="00F3475E"/>
    <w:rsid w:val="00F36E4D"/>
    <w:rsid w:val="00F370ED"/>
    <w:rsid w:val="00F40526"/>
    <w:rsid w:val="00F4105D"/>
    <w:rsid w:val="00F43B58"/>
    <w:rsid w:val="00F45CAD"/>
    <w:rsid w:val="00F45F26"/>
    <w:rsid w:val="00F46934"/>
    <w:rsid w:val="00F47306"/>
    <w:rsid w:val="00F47DF2"/>
    <w:rsid w:val="00F47E6E"/>
    <w:rsid w:val="00F50799"/>
    <w:rsid w:val="00F50E0D"/>
    <w:rsid w:val="00F52395"/>
    <w:rsid w:val="00F539C7"/>
    <w:rsid w:val="00F53FB2"/>
    <w:rsid w:val="00F54795"/>
    <w:rsid w:val="00F56CA9"/>
    <w:rsid w:val="00F57128"/>
    <w:rsid w:val="00F57343"/>
    <w:rsid w:val="00F61442"/>
    <w:rsid w:val="00F622EB"/>
    <w:rsid w:val="00F6273F"/>
    <w:rsid w:val="00F62ACC"/>
    <w:rsid w:val="00F62D42"/>
    <w:rsid w:val="00F6306C"/>
    <w:rsid w:val="00F64463"/>
    <w:rsid w:val="00F6452B"/>
    <w:rsid w:val="00F662E4"/>
    <w:rsid w:val="00F6688F"/>
    <w:rsid w:val="00F66BE2"/>
    <w:rsid w:val="00F67649"/>
    <w:rsid w:val="00F7025F"/>
    <w:rsid w:val="00F7116C"/>
    <w:rsid w:val="00F734BC"/>
    <w:rsid w:val="00F74E19"/>
    <w:rsid w:val="00F75E03"/>
    <w:rsid w:val="00F7610B"/>
    <w:rsid w:val="00F7706E"/>
    <w:rsid w:val="00F80359"/>
    <w:rsid w:val="00F8081B"/>
    <w:rsid w:val="00F81F2B"/>
    <w:rsid w:val="00F820D2"/>
    <w:rsid w:val="00F8247C"/>
    <w:rsid w:val="00F832C2"/>
    <w:rsid w:val="00F83416"/>
    <w:rsid w:val="00F86A16"/>
    <w:rsid w:val="00F90807"/>
    <w:rsid w:val="00F90E4D"/>
    <w:rsid w:val="00F91037"/>
    <w:rsid w:val="00F91BDC"/>
    <w:rsid w:val="00F9295B"/>
    <w:rsid w:val="00F94A01"/>
    <w:rsid w:val="00F95026"/>
    <w:rsid w:val="00F950CD"/>
    <w:rsid w:val="00F95198"/>
    <w:rsid w:val="00F95390"/>
    <w:rsid w:val="00F9622D"/>
    <w:rsid w:val="00F97860"/>
    <w:rsid w:val="00F97A20"/>
    <w:rsid w:val="00FA01B0"/>
    <w:rsid w:val="00FA139F"/>
    <w:rsid w:val="00FA1749"/>
    <w:rsid w:val="00FA1A9F"/>
    <w:rsid w:val="00FA2786"/>
    <w:rsid w:val="00FA3931"/>
    <w:rsid w:val="00FA3AD3"/>
    <w:rsid w:val="00FA5871"/>
    <w:rsid w:val="00FA5CBF"/>
    <w:rsid w:val="00FA5E0C"/>
    <w:rsid w:val="00FA6F4F"/>
    <w:rsid w:val="00FB00C1"/>
    <w:rsid w:val="00FB021B"/>
    <w:rsid w:val="00FB03B4"/>
    <w:rsid w:val="00FB0559"/>
    <w:rsid w:val="00FB1267"/>
    <w:rsid w:val="00FB3D56"/>
    <w:rsid w:val="00FB45F0"/>
    <w:rsid w:val="00FB4B41"/>
    <w:rsid w:val="00FB66C5"/>
    <w:rsid w:val="00FB7059"/>
    <w:rsid w:val="00FB74E0"/>
    <w:rsid w:val="00FB7DDA"/>
    <w:rsid w:val="00FC07E3"/>
    <w:rsid w:val="00FC0911"/>
    <w:rsid w:val="00FC4853"/>
    <w:rsid w:val="00FC59DA"/>
    <w:rsid w:val="00FC65BD"/>
    <w:rsid w:val="00FC7C0E"/>
    <w:rsid w:val="00FD03C8"/>
    <w:rsid w:val="00FD09CF"/>
    <w:rsid w:val="00FD0BFA"/>
    <w:rsid w:val="00FD3493"/>
    <w:rsid w:val="00FD4FBA"/>
    <w:rsid w:val="00FD529E"/>
    <w:rsid w:val="00FD6B31"/>
    <w:rsid w:val="00FE1F19"/>
    <w:rsid w:val="00FE2A3B"/>
    <w:rsid w:val="00FE352B"/>
    <w:rsid w:val="00FE3A2F"/>
    <w:rsid w:val="00FE43EF"/>
    <w:rsid w:val="00FE51AF"/>
    <w:rsid w:val="00FE5CA8"/>
    <w:rsid w:val="00FE625D"/>
    <w:rsid w:val="00FF11F2"/>
    <w:rsid w:val="00FF1296"/>
    <w:rsid w:val="00FF18F5"/>
    <w:rsid w:val="00FF1A43"/>
    <w:rsid w:val="00FF1D15"/>
    <w:rsid w:val="00FF2430"/>
    <w:rsid w:val="00FF3809"/>
    <w:rsid w:val="00FF3D54"/>
    <w:rsid w:val="00FF4A97"/>
    <w:rsid w:val="00FF4BC8"/>
    <w:rsid w:val="00FF788A"/>
    <w:rsid w:val="00FF7D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761EEF"/>
  <w15:chartTrackingRefBased/>
  <w15:docId w15:val="{C0BF021A-E4AF-6F45-98AD-0EBF0A2BE6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9A08D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gwek2">
    <w:name w:val="heading 2"/>
    <w:basedOn w:val="Normalny"/>
    <w:next w:val="Normalny"/>
    <w:link w:val="Nagwek2Znak"/>
    <w:uiPriority w:val="9"/>
    <w:unhideWhenUsed/>
    <w:qFormat/>
    <w:rsid w:val="00180F3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gwek3">
    <w:name w:val="heading 3"/>
    <w:basedOn w:val="Normalny"/>
    <w:next w:val="Normalny"/>
    <w:link w:val="Nagwek3Znak"/>
    <w:uiPriority w:val="9"/>
    <w:unhideWhenUsed/>
    <w:qFormat/>
    <w:rsid w:val="009D02E4"/>
    <w:pPr>
      <w:keepNext/>
      <w:keepLines/>
      <w:spacing w:before="40"/>
      <w:outlineLvl w:val="2"/>
    </w:pPr>
    <w:rPr>
      <w:rFonts w:asciiTheme="majorHAnsi" w:eastAsiaTheme="majorEastAsia" w:hAnsiTheme="majorHAnsi" w:cstheme="majorBidi"/>
      <w:color w:val="1F3763" w:themeColor="accent1" w:themeShade="7F"/>
    </w:rPr>
  </w:style>
  <w:style w:type="paragraph" w:styleId="Nagwek4">
    <w:name w:val="heading 4"/>
    <w:basedOn w:val="Normalny"/>
    <w:next w:val="Normalny"/>
    <w:link w:val="Nagwek4Znak"/>
    <w:uiPriority w:val="9"/>
    <w:unhideWhenUsed/>
    <w:qFormat/>
    <w:rsid w:val="009D02E4"/>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3635AE"/>
    <w:pPr>
      <w:spacing w:before="100" w:beforeAutospacing="1" w:after="100" w:afterAutospacing="1"/>
    </w:pPr>
    <w:rPr>
      <w:rFonts w:ascii="Times New Roman" w:eastAsia="Times New Roman" w:hAnsi="Times New Roman" w:cs="Times New Roman"/>
      <w:lang w:eastAsia="en-GB"/>
    </w:rPr>
  </w:style>
  <w:style w:type="paragraph" w:customStyle="1" w:styleId="default">
    <w:name w:val="default"/>
    <w:basedOn w:val="Normalny"/>
    <w:rsid w:val="003635AE"/>
    <w:pPr>
      <w:spacing w:before="100" w:beforeAutospacing="1" w:after="100" w:afterAutospacing="1"/>
    </w:pPr>
    <w:rPr>
      <w:rFonts w:ascii="Times New Roman" w:eastAsia="Times New Roman" w:hAnsi="Times New Roman" w:cs="Times New Roman"/>
      <w:lang w:eastAsia="en-GB"/>
    </w:rPr>
  </w:style>
  <w:style w:type="character" w:customStyle="1" w:styleId="apple-converted-space">
    <w:name w:val="apple-converted-space"/>
    <w:basedOn w:val="Domylnaczcionkaakapitu"/>
    <w:rsid w:val="003635AE"/>
  </w:style>
  <w:style w:type="character" w:customStyle="1" w:styleId="Nagwek3Znak">
    <w:name w:val="Nagłówek 3 Znak"/>
    <w:basedOn w:val="Domylnaczcionkaakapitu"/>
    <w:link w:val="Nagwek3"/>
    <w:uiPriority w:val="9"/>
    <w:rsid w:val="009D02E4"/>
    <w:rPr>
      <w:rFonts w:asciiTheme="majorHAnsi" w:eastAsiaTheme="majorEastAsia" w:hAnsiTheme="majorHAnsi" w:cstheme="majorBidi"/>
      <w:color w:val="1F3763" w:themeColor="accent1" w:themeShade="7F"/>
    </w:rPr>
  </w:style>
  <w:style w:type="character" w:customStyle="1" w:styleId="Nagwek4Znak">
    <w:name w:val="Nagłówek 4 Znak"/>
    <w:basedOn w:val="Domylnaczcionkaakapitu"/>
    <w:link w:val="Nagwek4"/>
    <w:uiPriority w:val="9"/>
    <w:rsid w:val="009D02E4"/>
    <w:rPr>
      <w:rFonts w:asciiTheme="majorHAnsi" w:eastAsiaTheme="majorEastAsia" w:hAnsiTheme="majorHAnsi" w:cstheme="majorBidi"/>
      <w:i/>
      <w:iCs/>
      <w:color w:val="2F5496" w:themeColor="accent1" w:themeShade="BF"/>
    </w:rPr>
  </w:style>
  <w:style w:type="paragraph" w:styleId="NormalnyWeb">
    <w:name w:val="Normal (Web)"/>
    <w:basedOn w:val="Normalny"/>
    <w:uiPriority w:val="99"/>
    <w:unhideWhenUsed/>
    <w:rsid w:val="009D02E4"/>
    <w:pPr>
      <w:spacing w:before="100" w:beforeAutospacing="1" w:after="100" w:afterAutospacing="1"/>
    </w:pPr>
    <w:rPr>
      <w:rFonts w:ascii="Times New Roman" w:eastAsia="Times New Roman" w:hAnsi="Times New Roman" w:cs="Times New Roman"/>
      <w:lang w:eastAsia="en-GB"/>
    </w:rPr>
  </w:style>
  <w:style w:type="table" w:styleId="Tabela-Siatka">
    <w:name w:val="Table Grid"/>
    <w:basedOn w:val="Standardowy"/>
    <w:uiPriority w:val="39"/>
    <w:rsid w:val="009D02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0">
    <w:name w:val="Default"/>
    <w:rsid w:val="009D02E4"/>
    <w:pPr>
      <w:autoSpaceDE w:val="0"/>
      <w:autoSpaceDN w:val="0"/>
      <w:adjustRightInd w:val="0"/>
    </w:pPr>
    <w:rPr>
      <w:rFonts w:ascii="Calibri" w:hAnsi="Calibri" w:cs="Calibri"/>
      <w:color w:val="000000"/>
    </w:rPr>
  </w:style>
  <w:style w:type="character" w:customStyle="1" w:styleId="Nagwek1Znak">
    <w:name w:val="Nagłówek 1 Znak"/>
    <w:basedOn w:val="Domylnaczcionkaakapitu"/>
    <w:link w:val="Nagwek1"/>
    <w:uiPriority w:val="9"/>
    <w:rsid w:val="009A08DA"/>
    <w:rPr>
      <w:rFonts w:asciiTheme="majorHAnsi" w:eastAsiaTheme="majorEastAsia" w:hAnsiTheme="majorHAnsi" w:cstheme="majorBidi"/>
      <w:color w:val="2F5496" w:themeColor="accent1" w:themeShade="BF"/>
      <w:sz w:val="32"/>
      <w:szCs w:val="32"/>
    </w:rPr>
  </w:style>
  <w:style w:type="character" w:customStyle="1" w:styleId="Nagwek2Znak">
    <w:name w:val="Nagłówek 2 Znak"/>
    <w:basedOn w:val="Domylnaczcionkaakapitu"/>
    <w:link w:val="Nagwek2"/>
    <w:uiPriority w:val="9"/>
    <w:rsid w:val="00180F39"/>
    <w:rPr>
      <w:rFonts w:asciiTheme="majorHAnsi" w:eastAsiaTheme="majorEastAsia" w:hAnsiTheme="majorHAnsi" w:cstheme="majorBidi"/>
      <w:color w:val="2F5496" w:themeColor="accent1" w:themeShade="BF"/>
      <w:sz w:val="26"/>
      <w:szCs w:val="26"/>
    </w:rPr>
  </w:style>
  <w:style w:type="paragraph" w:styleId="Nagwekspisutreci">
    <w:name w:val="TOC Heading"/>
    <w:basedOn w:val="Nagwek1"/>
    <w:next w:val="Normalny"/>
    <w:uiPriority w:val="39"/>
    <w:unhideWhenUsed/>
    <w:qFormat/>
    <w:rsid w:val="008C5C08"/>
    <w:pPr>
      <w:spacing w:before="480" w:line="276" w:lineRule="auto"/>
      <w:outlineLvl w:val="9"/>
    </w:pPr>
    <w:rPr>
      <w:b/>
      <w:bCs/>
      <w:sz w:val="28"/>
      <w:szCs w:val="28"/>
      <w:lang w:val="en-US"/>
    </w:rPr>
  </w:style>
  <w:style w:type="paragraph" w:styleId="Spistreci1">
    <w:name w:val="toc 1"/>
    <w:basedOn w:val="Normalny"/>
    <w:next w:val="Normalny"/>
    <w:autoRedefine/>
    <w:uiPriority w:val="39"/>
    <w:unhideWhenUsed/>
    <w:rsid w:val="008C5C08"/>
    <w:pPr>
      <w:spacing w:before="120"/>
    </w:pPr>
    <w:rPr>
      <w:rFonts w:cstheme="minorHAnsi"/>
      <w:b/>
      <w:bCs/>
      <w:i/>
      <w:iCs/>
    </w:rPr>
  </w:style>
  <w:style w:type="paragraph" w:styleId="Spistreci2">
    <w:name w:val="toc 2"/>
    <w:basedOn w:val="Normalny"/>
    <w:next w:val="Normalny"/>
    <w:autoRedefine/>
    <w:uiPriority w:val="39"/>
    <w:unhideWhenUsed/>
    <w:rsid w:val="008C5C08"/>
    <w:pPr>
      <w:spacing w:before="120"/>
      <w:ind w:left="240"/>
    </w:pPr>
    <w:rPr>
      <w:rFonts w:cstheme="minorHAnsi"/>
      <w:b/>
      <w:bCs/>
      <w:sz w:val="22"/>
      <w:szCs w:val="22"/>
    </w:rPr>
  </w:style>
  <w:style w:type="character" w:styleId="Hipercze">
    <w:name w:val="Hyperlink"/>
    <w:basedOn w:val="Domylnaczcionkaakapitu"/>
    <w:uiPriority w:val="99"/>
    <w:unhideWhenUsed/>
    <w:rsid w:val="008C5C08"/>
    <w:rPr>
      <w:color w:val="0563C1" w:themeColor="hyperlink"/>
      <w:u w:val="single"/>
    </w:rPr>
  </w:style>
  <w:style w:type="paragraph" w:styleId="Spistreci3">
    <w:name w:val="toc 3"/>
    <w:basedOn w:val="Normalny"/>
    <w:next w:val="Normalny"/>
    <w:autoRedefine/>
    <w:uiPriority w:val="39"/>
    <w:semiHidden/>
    <w:unhideWhenUsed/>
    <w:rsid w:val="008C5C08"/>
    <w:pPr>
      <w:ind w:left="480"/>
    </w:pPr>
    <w:rPr>
      <w:rFonts w:cstheme="minorHAnsi"/>
      <w:sz w:val="20"/>
      <w:szCs w:val="20"/>
    </w:rPr>
  </w:style>
  <w:style w:type="paragraph" w:styleId="Spistreci4">
    <w:name w:val="toc 4"/>
    <w:basedOn w:val="Normalny"/>
    <w:next w:val="Normalny"/>
    <w:autoRedefine/>
    <w:uiPriority w:val="39"/>
    <w:semiHidden/>
    <w:unhideWhenUsed/>
    <w:rsid w:val="008C5C08"/>
    <w:pPr>
      <w:ind w:left="720"/>
    </w:pPr>
    <w:rPr>
      <w:rFonts w:cstheme="minorHAnsi"/>
      <w:sz w:val="20"/>
      <w:szCs w:val="20"/>
    </w:rPr>
  </w:style>
  <w:style w:type="paragraph" w:styleId="Spistreci5">
    <w:name w:val="toc 5"/>
    <w:basedOn w:val="Normalny"/>
    <w:next w:val="Normalny"/>
    <w:autoRedefine/>
    <w:uiPriority w:val="39"/>
    <w:semiHidden/>
    <w:unhideWhenUsed/>
    <w:rsid w:val="008C5C08"/>
    <w:pPr>
      <w:ind w:left="960"/>
    </w:pPr>
    <w:rPr>
      <w:rFonts w:cstheme="minorHAnsi"/>
      <w:sz w:val="20"/>
      <w:szCs w:val="20"/>
    </w:rPr>
  </w:style>
  <w:style w:type="paragraph" w:styleId="Spistreci6">
    <w:name w:val="toc 6"/>
    <w:basedOn w:val="Normalny"/>
    <w:next w:val="Normalny"/>
    <w:autoRedefine/>
    <w:uiPriority w:val="39"/>
    <w:semiHidden/>
    <w:unhideWhenUsed/>
    <w:rsid w:val="008C5C08"/>
    <w:pPr>
      <w:ind w:left="1200"/>
    </w:pPr>
    <w:rPr>
      <w:rFonts w:cstheme="minorHAnsi"/>
      <w:sz w:val="20"/>
      <w:szCs w:val="20"/>
    </w:rPr>
  </w:style>
  <w:style w:type="paragraph" w:styleId="Spistreci7">
    <w:name w:val="toc 7"/>
    <w:basedOn w:val="Normalny"/>
    <w:next w:val="Normalny"/>
    <w:autoRedefine/>
    <w:uiPriority w:val="39"/>
    <w:semiHidden/>
    <w:unhideWhenUsed/>
    <w:rsid w:val="008C5C08"/>
    <w:pPr>
      <w:ind w:left="1440"/>
    </w:pPr>
    <w:rPr>
      <w:rFonts w:cstheme="minorHAnsi"/>
      <w:sz w:val="20"/>
      <w:szCs w:val="20"/>
    </w:rPr>
  </w:style>
  <w:style w:type="paragraph" w:styleId="Spistreci8">
    <w:name w:val="toc 8"/>
    <w:basedOn w:val="Normalny"/>
    <w:next w:val="Normalny"/>
    <w:autoRedefine/>
    <w:uiPriority w:val="39"/>
    <w:semiHidden/>
    <w:unhideWhenUsed/>
    <w:rsid w:val="008C5C08"/>
    <w:pPr>
      <w:ind w:left="1680"/>
    </w:pPr>
    <w:rPr>
      <w:rFonts w:cstheme="minorHAnsi"/>
      <w:sz w:val="20"/>
      <w:szCs w:val="20"/>
    </w:rPr>
  </w:style>
  <w:style w:type="paragraph" w:styleId="Spistreci9">
    <w:name w:val="toc 9"/>
    <w:basedOn w:val="Normalny"/>
    <w:next w:val="Normalny"/>
    <w:autoRedefine/>
    <w:uiPriority w:val="39"/>
    <w:semiHidden/>
    <w:unhideWhenUsed/>
    <w:rsid w:val="008C5C08"/>
    <w:pPr>
      <w:ind w:left="1920"/>
    </w:pPr>
    <w:rPr>
      <w:rFonts w:cstheme="minorHAnsi"/>
      <w:sz w:val="20"/>
      <w:szCs w:val="20"/>
    </w:rPr>
  </w:style>
  <w:style w:type="paragraph" w:styleId="Tekstprzypisudolnego">
    <w:name w:val="footnote text"/>
    <w:basedOn w:val="Normalny"/>
    <w:link w:val="TekstprzypisudolnegoZnak"/>
    <w:uiPriority w:val="99"/>
    <w:unhideWhenUsed/>
    <w:qFormat/>
    <w:rsid w:val="00CF04F1"/>
    <w:rPr>
      <w:sz w:val="20"/>
      <w:szCs w:val="20"/>
    </w:rPr>
  </w:style>
  <w:style w:type="character" w:customStyle="1" w:styleId="TekstprzypisudolnegoZnak">
    <w:name w:val="Tekst przypisu dolnego Znak"/>
    <w:basedOn w:val="Domylnaczcionkaakapitu"/>
    <w:link w:val="Tekstprzypisudolnego"/>
    <w:uiPriority w:val="99"/>
    <w:qFormat/>
    <w:rsid w:val="00CF04F1"/>
    <w:rPr>
      <w:sz w:val="20"/>
      <w:szCs w:val="20"/>
    </w:rPr>
  </w:style>
  <w:style w:type="character" w:styleId="Odwoanieprzypisudolnego">
    <w:name w:val="footnote reference"/>
    <w:basedOn w:val="Domylnaczcionkaakapitu"/>
    <w:uiPriority w:val="99"/>
    <w:unhideWhenUsed/>
    <w:qFormat/>
    <w:rsid w:val="00CF04F1"/>
    <w:rPr>
      <w:vertAlign w:val="superscript"/>
    </w:rPr>
  </w:style>
  <w:style w:type="character" w:styleId="Uwydatnienie">
    <w:name w:val="Emphasis"/>
    <w:basedOn w:val="Domylnaczcionkaakapitu"/>
    <w:uiPriority w:val="20"/>
    <w:qFormat/>
    <w:rsid w:val="00421AE8"/>
    <w:rPr>
      <w:i/>
      <w:iCs/>
    </w:rPr>
  </w:style>
  <w:style w:type="character" w:styleId="Nierozpoznanawzmianka">
    <w:name w:val="Unresolved Mention"/>
    <w:basedOn w:val="Domylnaczcionkaakapitu"/>
    <w:uiPriority w:val="99"/>
    <w:semiHidden/>
    <w:unhideWhenUsed/>
    <w:rsid w:val="00EE7F3F"/>
    <w:rPr>
      <w:color w:val="605E5C"/>
      <w:shd w:val="clear" w:color="auto" w:fill="E1DFDD"/>
    </w:rPr>
  </w:style>
  <w:style w:type="character" w:styleId="UyteHipercze">
    <w:name w:val="FollowedHyperlink"/>
    <w:basedOn w:val="Domylnaczcionkaakapitu"/>
    <w:uiPriority w:val="99"/>
    <w:semiHidden/>
    <w:unhideWhenUsed/>
    <w:rsid w:val="008B7AA9"/>
    <w:rPr>
      <w:color w:val="954F72" w:themeColor="followedHyperlink"/>
      <w:u w:val="single"/>
    </w:rPr>
  </w:style>
  <w:style w:type="paragraph" w:styleId="Nagwek">
    <w:name w:val="header"/>
    <w:basedOn w:val="Normalny"/>
    <w:link w:val="NagwekZnak"/>
    <w:uiPriority w:val="99"/>
    <w:unhideWhenUsed/>
    <w:rsid w:val="000F218B"/>
    <w:pPr>
      <w:tabs>
        <w:tab w:val="center" w:pos="4513"/>
        <w:tab w:val="right" w:pos="9026"/>
      </w:tabs>
    </w:pPr>
  </w:style>
  <w:style w:type="character" w:customStyle="1" w:styleId="NagwekZnak">
    <w:name w:val="Nagłówek Znak"/>
    <w:basedOn w:val="Domylnaczcionkaakapitu"/>
    <w:link w:val="Nagwek"/>
    <w:uiPriority w:val="99"/>
    <w:rsid w:val="000F218B"/>
  </w:style>
  <w:style w:type="paragraph" w:styleId="Stopka">
    <w:name w:val="footer"/>
    <w:basedOn w:val="Normalny"/>
    <w:link w:val="StopkaZnak"/>
    <w:uiPriority w:val="99"/>
    <w:unhideWhenUsed/>
    <w:rsid w:val="000F218B"/>
    <w:pPr>
      <w:tabs>
        <w:tab w:val="center" w:pos="4513"/>
        <w:tab w:val="right" w:pos="9026"/>
      </w:tabs>
    </w:pPr>
  </w:style>
  <w:style w:type="character" w:customStyle="1" w:styleId="StopkaZnak">
    <w:name w:val="Stopka Znak"/>
    <w:basedOn w:val="Domylnaczcionkaakapitu"/>
    <w:link w:val="Stopka"/>
    <w:uiPriority w:val="99"/>
    <w:rsid w:val="000F218B"/>
  </w:style>
  <w:style w:type="paragraph" w:styleId="Tekstprzypisukocowego">
    <w:name w:val="endnote text"/>
    <w:basedOn w:val="Normalny"/>
    <w:link w:val="TekstprzypisukocowegoZnak"/>
    <w:uiPriority w:val="99"/>
    <w:unhideWhenUsed/>
    <w:rsid w:val="00CD0FF3"/>
    <w:rPr>
      <w:sz w:val="20"/>
      <w:szCs w:val="20"/>
    </w:rPr>
  </w:style>
  <w:style w:type="character" w:customStyle="1" w:styleId="TekstprzypisukocowegoZnak">
    <w:name w:val="Tekst przypisu końcowego Znak"/>
    <w:basedOn w:val="Domylnaczcionkaakapitu"/>
    <w:link w:val="Tekstprzypisukocowego"/>
    <w:uiPriority w:val="99"/>
    <w:rsid w:val="00CD0FF3"/>
    <w:rPr>
      <w:sz w:val="20"/>
      <w:szCs w:val="20"/>
    </w:rPr>
  </w:style>
  <w:style w:type="character" w:styleId="Odwoanieprzypisukocowego">
    <w:name w:val="endnote reference"/>
    <w:basedOn w:val="Domylnaczcionkaakapitu"/>
    <w:uiPriority w:val="99"/>
    <w:semiHidden/>
    <w:unhideWhenUsed/>
    <w:rsid w:val="00CD0FF3"/>
    <w:rPr>
      <w:vertAlign w:val="superscript"/>
    </w:rPr>
  </w:style>
  <w:style w:type="character" w:styleId="Numerstrony">
    <w:name w:val="page number"/>
    <w:basedOn w:val="Domylnaczcionkaakapitu"/>
    <w:uiPriority w:val="99"/>
    <w:semiHidden/>
    <w:unhideWhenUsed/>
    <w:rsid w:val="00401F33"/>
  </w:style>
  <w:style w:type="paragraph" w:styleId="Poprawka">
    <w:name w:val="Revision"/>
    <w:hidden/>
    <w:uiPriority w:val="99"/>
    <w:semiHidden/>
    <w:rsid w:val="00C82FB0"/>
  </w:style>
  <w:style w:type="paragraph" w:styleId="Bezodstpw">
    <w:name w:val="No Spacing"/>
    <w:uiPriority w:val="1"/>
    <w:qFormat/>
    <w:rsid w:val="00A05A67"/>
  </w:style>
  <w:style w:type="character" w:styleId="Odwoaniedokomentarza">
    <w:name w:val="annotation reference"/>
    <w:basedOn w:val="Domylnaczcionkaakapitu"/>
    <w:uiPriority w:val="99"/>
    <w:semiHidden/>
    <w:unhideWhenUsed/>
    <w:rsid w:val="00F66BE2"/>
    <w:rPr>
      <w:sz w:val="16"/>
      <w:szCs w:val="16"/>
    </w:rPr>
  </w:style>
  <w:style w:type="paragraph" w:styleId="Tekstkomentarza">
    <w:name w:val="annotation text"/>
    <w:basedOn w:val="Normalny"/>
    <w:link w:val="TekstkomentarzaZnak"/>
    <w:uiPriority w:val="99"/>
    <w:semiHidden/>
    <w:unhideWhenUsed/>
    <w:rsid w:val="00F66BE2"/>
    <w:rPr>
      <w:sz w:val="20"/>
      <w:szCs w:val="20"/>
    </w:rPr>
  </w:style>
  <w:style w:type="character" w:customStyle="1" w:styleId="TekstkomentarzaZnak">
    <w:name w:val="Tekst komentarza Znak"/>
    <w:basedOn w:val="Domylnaczcionkaakapitu"/>
    <w:link w:val="Tekstkomentarza"/>
    <w:uiPriority w:val="99"/>
    <w:semiHidden/>
    <w:rsid w:val="00F66BE2"/>
    <w:rPr>
      <w:sz w:val="20"/>
      <w:szCs w:val="20"/>
    </w:rPr>
  </w:style>
  <w:style w:type="paragraph" w:styleId="Tematkomentarza">
    <w:name w:val="annotation subject"/>
    <w:basedOn w:val="Tekstkomentarza"/>
    <w:next w:val="Tekstkomentarza"/>
    <w:link w:val="TematkomentarzaZnak"/>
    <w:uiPriority w:val="99"/>
    <w:semiHidden/>
    <w:unhideWhenUsed/>
    <w:rsid w:val="00F66BE2"/>
    <w:rPr>
      <w:b/>
      <w:bCs/>
    </w:rPr>
  </w:style>
  <w:style w:type="character" w:customStyle="1" w:styleId="TematkomentarzaZnak">
    <w:name w:val="Temat komentarza Znak"/>
    <w:basedOn w:val="TekstkomentarzaZnak"/>
    <w:link w:val="Tematkomentarza"/>
    <w:uiPriority w:val="99"/>
    <w:semiHidden/>
    <w:rsid w:val="00F66BE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685323">
      <w:bodyDiv w:val="1"/>
      <w:marLeft w:val="0"/>
      <w:marRight w:val="0"/>
      <w:marTop w:val="0"/>
      <w:marBottom w:val="0"/>
      <w:divBdr>
        <w:top w:val="none" w:sz="0" w:space="0" w:color="auto"/>
        <w:left w:val="none" w:sz="0" w:space="0" w:color="auto"/>
        <w:bottom w:val="none" w:sz="0" w:space="0" w:color="auto"/>
        <w:right w:val="none" w:sz="0" w:space="0" w:color="auto"/>
      </w:divBdr>
      <w:divsChild>
        <w:div w:id="1930890888">
          <w:marLeft w:val="0"/>
          <w:marRight w:val="0"/>
          <w:marTop w:val="0"/>
          <w:marBottom w:val="0"/>
          <w:divBdr>
            <w:top w:val="none" w:sz="0" w:space="0" w:color="auto"/>
            <w:left w:val="none" w:sz="0" w:space="0" w:color="auto"/>
            <w:bottom w:val="none" w:sz="0" w:space="0" w:color="auto"/>
            <w:right w:val="none" w:sz="0" w:space="0" w:color="auto"/>
          </w:divBdr>
        </w:div>
      </w:divsChild>
    </w:div>
    <w:div w:id="473764592">
      <w:bodyDiv w:val="1"/>
      <w:marLeft w:val="0"/>
      <w:marRight w:val="0"/>
      <w:marTop w:val="0"/>
      <w:marBottom w:val="0"/>
      <w:divBdr>
        <w:top w:val="none" w:sz="0" w:space="0" w:color="auto"/>
        <w:left w:val="none" w:sz="0" w:space="0" w:color="auto"/>
        <w:bottom w:val="none" w:sz="0" w:space="0" w:color="auto"/>
        <w:right w:val="none" w:sz="0" w:space="0" w:color="auto"/>
      </w:divBdr>
      <w:divsChild>
        <w:div w:id="680546357">
          <w:marLeft w:val="0"/>
          <w:marRight w:val="0"/>
          <w:marTop w:val="0"/>
          <w:marBottom w:val="0"/>
          <w:divBdr>
            <w:top w:val="none" w:sz="0" w:space="0" w:color="auto"/>
            <w:left w:val="none" w:sz="0" w:space="0" w:color="auto"/>
            <w:bottom w:val="none" w:sz="0" w:space="0" w:color="auto"/>
            <w:right w:val="none" w:sz="0" w:space="0" w:color="auto"/>
          </w:divBdr>
          <w:divsChild>
            <w:div w:id="22788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804717">
      <w:bodyDiv w:val="1"/>
      <w:marLeft w:val="0"/>
      <w:marRight w:val="0"/>
      <w:marTop w:val="0"/>
      <w:marBottom w:val="0"/>
      <w:divBdr>
        <w:top w:val="none" w:sz="0" w:space="0" w:color="auto"/>
        <w:left w:val="none" w:sz="0" w:space="0" w:color="auto"/>
        <w:bottom w:val="none" w:sz="0" w:space="0" w:color="auto"/>
        <w:right w:val="none" w:sz="0" w:space="0" w:color="auto"/>
      </w:divBdr>
    </w:div>
    <w:div w:id="502280537">
      <w:bodyDiv w:val="1"/>
      <w:marLeft w:val="0"/>
      <w:marRight w:val="0"/>
      <w:marTop w:val="0"/>
      <w:marBottom w:val="0"/>
      <w:divBdr>
        <w:top w:val="none" w:sz="0" w:space="0" w:color="auto"/>
        <w:left w:val="none" w:sz="0" w:space="0" w:color="auto"/>
        <w:bottom w:val="none" w:sz="0" w:space="0" w:color="auto"/>
        <w:right w:val="none" w:sz="0" w:space="0" w:color="auto"/>
      </w:divBdr>
    </w:div>
    <w:div w:id="533925166">
      <w:bodyDiv w:val="1"/>
      <w:marLeft w:val="0"/>
      <w:marRight w:val="0"/>
      <w:marTop w:val="0"/>
      <w:marBottom w:val="0"/>
      <w:divBdr>
        <w:top w:val="none" w:sz="0" w:space="0" w:color="auto"/>
        <w:left w:val="none" w:sz="0" w:space="0" w:color="auto"/>
        <w:bottom w:val="none" w:sz="0" w:space="0" w:color="auto"/>
        <w:right w:val="none" w:sz="0" w:space="0" w:color="auto"/>
      </w:divBdr>
    </w:div>
    <w:div w:id="545483115">
      <w:bodyDiv w:val="1"/>
      <w:marLeft w:val="0"/>
      <w:marRight w:val="0"/>
      <w:marTop w:val="0"/>
      <w:marBottom w:val="0"/>
      <w:divBdr>
        <w:top w:val="none" w:sz="0" w:space="0" w:color="auto"/>
        <w:left w:val="none" w:sz="0" w:space="0" w:color="auto"/>
        <w:bottom w:val="none" w:sz="0" w:space="0" w:color="auto"/>
        <w:right w:val="none" w:sz="0" w:space="0" w:color="auto"/>
      </w:divBdr>
    </w:div>
    <w:div w:id="766460150">
      <w:bodyDiv w:val="1"/>
      <w:marLeft w:val="0"/>
      <w:marRight w:val="0"/>
      <w:marTop w:val="0"/>
      <w:marBottom w:val="0"/>
      <w:divBdr>
        <w:top w:val="none" w:sz="0" w:space="0" w:color="auto"/>
        <w:left w:val="none" w:sz="0" w:space="0" w:color="auto"/>
        <w:bottom w:val="none" w:sz="0" w:space="0" w:color="auto"/>
        <w:right w:val="none" w:sz="0" w:space="0" w:color="auto"/>
      </w:divBdr>
    </w:div>
    <w:div w:id="1038235604">
      <w:bodyDiv w:val="1"/>
      <w:marLeft w:val="0"/>
      <w:marRight w:val="0"/>
      <w:marTop w:val="0"/>
      <w:marBottom w:val="0"/>
      <w:divBdr>
        <w:top w:val="none" w:sz="0" w:space="0" w:color="auto"/>
        <w:left w:val="none" w:sz="0" w:space="0" w:color="auto"/>
        <w:bottom w:val="none" w:sz="0" w:space="0" w:color="auto"/>
        <w:right w:val="none" w:sz="0" w:space="0" w:color="auto"/>
      </w:divBdr>
    </w:div>
    <w:div w:id="1698659194">
      <w:bodyDiv w:val="1"/>
      <w:marLeft w:val="0"/>
      <w:marRight w:val="0"/>
      <w:marTop w:val="0"/>
      <w:marBottom w:val="0"/>
      <w:divBdr>
        <w:top w:val="none" w:sz="0" w:space="0" w:color="auto"/>
        <w:left w:val="none" w:sz="0" w:space="0" w:color="auto"/>
        <w:bottom w:val="none" w:sz="0" w:space="0" w:color="auto"/>
        <w:right w:val="none" w:sz="0" w:space="0" w:color="auto"/>
      </w:divBdr>
    </w:div>
    <w:div w:id="1751268783">
      <w:bodyDiv w:val="1"/>
      <w:marLeft w:val="0"/>
      <w:marRight w:val="0"/>
      <w:marTop w:val="0"/>
      <w:marBottom w:val="0"/>
      <w:divBdr>
        <w:top w:val="none" w:sz="0" w:space="0" w:color="auto"/>
        <w:left w:val="none" w:sz="0" w:space="0" w:color="auto"/>
        <w:bottom w:val="none" w:sz="0" w:space="0" w:color="auto"/>
        <w:right w:val="none" w:sz="0" w:space="0" w:color="auto"/>
      </w:divBdr>
      <w:divsChild>
        <w:div w:id="465004771">
          <w:marLeft w:val="0"/>
          <w:marRight w:val="0"/>
          <w:marTop w:val="0"/>
          <w:marBottom w:val="0"/>
          <w:divBdr>
            <w:top w:val="none" w:sz="0" w:space="0" w:color="auto"/>
            <w:left w:val="none" w:sz="0" w:space="0" w:color="auto"/>
            <w:bottom w:val="none" w:sz="0" w:space="0" w:color="auto"/>
            <w:right w:val="none" w:sz="0" w:space="0" w:color="auto"/>
          </w:divBdr>
        </w:div>
      </w:divsChild>
    </w:div>
    <w:div w:id="1908415953">
      <w:bodyDiv w:val="1"/>
      <w:marLeft w:val="0"/>
      <w:marRight w:val="0"/>
      <w:marTop w:val="0"/>
      <w:marBottom w:val="0"/>
      <w:divBdr>
        <w:top w:val="none" w:sz="0" w:space="0" w:color="auto"/>
        <w:left w:val="none" w:sz="0" w:space="0" w:color="auto"/>
        <w:bottom w:val="none" w:sz="0" w:space="0" w:color="auto"/>
        <w:right w:val="none" w:sz="0" w:space="0" w:color="auto"/>
      </w:divBdr>
      <w:divsChild>
        <w:div w:id="434790653">
          <w:marLeft w:val="0"/>
          <w:marRight w:val="0"/>
          <w:marTop w:val="0"/>
          <w:marBottom w:val="0"/>
          <w:divBdr>
            <w:top w:val="none" w:sz="0" w:space="0" w:color="auto"/>
            <w:left w:val="none" w:sz="0" w:space="0" w:color="auto"/>
            <w:bottom w:val="none" w:sz="0" w:space="0" w:color="auto"/>
            <w:right w:val="none" w:sz="0" w:space="0" w:color="auto"/>
          </w:divBdr>
          <w:divsChild>
            <w:div w:id="1406105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7176066">
      <w:bodyDiv w:val="1"/>
      <w:marLeft w:val="0"/>
      <w:marRight w:val="0"/>
      <w:marTop w:val="0"/>
      <w:marBottom w:val="0"/>
      <w:divBdr>
        <w:top w:val="none" w:sz="0" w:space="0" w:color="auto"/>
        <w:left w:val="none" w:sz="0" w:space="0" w:color="auto"/>
        <w:bottom w:val="none" w:sz="0" w:space="0" w:color="auto"/>
        <w:right w:val="none" w:sz="0" w:space="0" w:color="auto"/>
      </w:divBdr>
    </w:div>
    <w:div w:id="2030528045">
      <w:bodyDiv w:val="1"/>
      <w:marLeft w:val="0"/>
      <w:marRight w:val="0"/>
      <w:marTop w:val="0"/>
      <w:marBottom w:val="0"/>
      <w:divBdr>
        <w:top w:val="none" w:sz="0" w:space="0" w:color="auto"/>
        <w:left w:val="none" w:sz="0" w:space="0" w:color="auto"/>
        <w:bottom w:val="none" w:sz="0" w:space="0" w:color="auto"/>
        <w:right w:val="none" w:sz="0" w:space="0" w:color="auto"/>
      </w:divBdr>
    </w:div>
    <w:div w:id="2102218167">
      <w:bodyDiv w:val="1"/>
      <w:marLeft w:val="0"/>
      <w:marRight w:val="0"/>
      <w:marTop w:val="0"/>
      <w:marBottom w:val="0"/>
      <w:divBdr>
        <w:top w:val="none" w:sz="0" w:space="0" w:color="auto"/>
        <w:left w:val="none" w:sz="0" w:space="0" w:color="auto"/>
        <w:bottom w:val="none" w:sz="0" w:space="0" w:color="auto"/>
        <w:right w:val="none" w:sz="0" w:space="0" w:color="auto"/>
      </w:divBdr>
      <w:divsChild>
        <w:div w:id="862776">
          <w:marLeft w:val="0"/>
          <w:marRight w:val="0"/>
          <w:marTop w:val="0"/>
          <w:marBottom w:val="0"/>
          <w:divBdr>
            <w:top w:val="none" w:sz="0" w:space="0" w:color="auto"/>
            <w:left w:val="none" w:sz="0" w:space="0" w:color="auto"/>
            <w:bottom w:val="none" w:sz="0" w:space="0" w:color="auto"/>
            <w:right w:val="none" w:sz="0" w:space="0" w:color="auto"/>
          </w:divBdr>
          <w:divsChild>
            <w:div w:id="1109010555">
              <w:marLeft w:val="0"/>
              <w:marRight w:val="0"/>
              <w:marTop w:val="150"/>
              <w:marBottom w:val="150"/>
              <w:divBdr>
                <w:top w:val="none" w:sz="0" w:space="0" w:color="auto"/>
                <w:left w:val="none" w:sz="0" w:space="0" w:color="auto"/>
                <w:bottom w:val="none" w:sz="0" w:space="0" w:color="auto"/>
                <w:right w:val="none" w:sz="0" w:space="0" w:color="auto"/>
              </w:divBdr>
            </w:div>
          </w:divsChild>
        </w:div>
        <w:div w:id="12830300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doi.org/10.6084/m9.figshare.29286137.v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7E668E-E4A6-4B44-902C-332231B7E3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9134</Words>
  <Characters>54809</Characters>
  <Application>Microsoft Office Word</Application>
  <DocSecurity>0</DocSecurity>
  <Lines>456</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Smolenska, Agnieszka</dc:creator>
  <cp:keywords/>
  <dc:description/>
  <cp:lastModifiedBy>Małgorzata Tyszka</cp:lastModifiedBy>
  <cp:revision>2</cp:revision>
  <cp:lastPrinted>2025-07-19T13:49:00Z</cp:lastPrinted>
  <dcterms:created xsi:type="dcterms:W3CDTF">2025-11-26T09:42:00Z</dcterms:created>
  <dcterms:modified xsi:type="dcterms:W3CDTF">2025-11-26T09:42:00Z</dcterms:modified>
</cp:coreProperties>
</file>